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COUNTERFEITER Character Master Specification</w:t>
        <w:br/>
      </w:r>
      <w:r>
        <w:t>Part 03: Color System, Materials &amp; Manufacturing Specifications</w:t>
      </w:r>
    </w:p>
    <w:p>
      <w:pPr>
        <w:pStyle w:val="Heading1"/>
      </w:pPr>
      <w:r>
        <w:t>Purpose</w:t>
      </w:r>
    </w:p>
    <w:p>
      <w:r>
        <w:t>This document defines THE COUNTERFEITER's canonical color palette, material finishes, surface treatments, lighting behavior, manufacturing requirements, and quality standards for all official Collectiverse products and media.</w:t>
      </w:r>
    </w:p>
    <w:p>
      <w:pPr>
        <w:pStyle w:val="Heading1"/>
      </w:pPr>
      <w:r>
        <w:t>Official Color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Production Standard</w:t>
            </w:r>
          </w:p>
        </w:tc>
      </w:tr>
      <w:tr>
        <w:tc>
          <w:tcPr>
            <w:tcW w:type="dxa" w:w="2880"/>
          </w:tcPr>
          <w:p>
            <w:r>
              <w:t>Primary Scales</w:t>
            </w:r>
          </w:p>
        </w:tc>
        <w:tc>
          <w:tcPr>
            <w:tcW w:type="dxa" w:w="2880"/>
          </w:tcPr>
          <w:p>
            <w:r>
              <w:t>Sickly Bronze (#B8860B)</w:t>
            </w:r>
          </w:p>
        </w:tc>
        <w:tc>
          <w:tcPr>
            <w:tcW w:type="dxa" w:w="2880"/>
          </w:tcPr>
          <w:p>
            <w:r>
              <w:t>Subtle color-shifting finish; never true gold.</w:t>
            </w:r>
          </w:p>
        </w:tc>
      </w:tr>
      <w:tr>
        <w:tc>
          <w:tcPr>
            <w:tcW w:type="dxa" w:w="2880"/>
          </w:tcPr>
          <w:p>
            <w:r>
              <w:t>Secondary Shading</w:t>
            </w:r>
          </w:p>
        </w:tc>
        <w:tc>
          <w:tcPr>
            <w:tcW w:type="dxa" w:w="2880"/>
          </w:tcPr>
          <w:p>
            <w:r>
              <w:t>Muted Olive &amp; Bronze</w:t>
            </w:r>
          </w:p>
        </w:tc>
        <w:tc>
          <w:tcPr>
            <w:tcW w:type="dxa" w:w="2880"/>
          </w:tcPr>
          <w:p>
            <w:r>
              <w:t>Supports natural chameleon depth.</w:t>
            </w:r>
          </w:p>
        </w:tc>
      </w:tr>
      <w:tr>
        <w:tc>
          <w:tcPr>
            <w:tcW w:type="dxa" w:w="2880"/>
          </w:tcPr>
          <w:p>
            <w:r>
              <w:t>Eyes</w:t>
            </w:r>
          </w:p>
        </w:tc>
        <w:tc>
          <w:tcPr>
            <w:tcW w:type="dxa" w:w="2880"/>
          </w:tcPr>
          <w:p>
            <w:r>
              <w:t>Prismatic Rainbow</w:t>
            </w:r>
          </w:p>
        </w:tc>
        <w:tc>
          <w:tcPr>
            <w:tcW w:type="dxa" w:w="2880"/>
          </w:tcPr>
          <w:p>
            <w:r>
              <w:t>Reflective surfaces with controlled iridescence.</w:t>
            </w:r>
          </w:p>
        </w:tc>
      </w:tr>
      <w:tr>
        <w:tc>
          <w:tcPr>
            <w:tcW w:type="dxa" w:w="2880"/>
          </w:tcPr>
          <w:p>
            <w:r>
              <w:t>Beret</w:t>
            </w:r>
          </w:p>
        </w:tc>
        <w:tc>
          <w:tcPr>
            <w:tcW w:type="dxa" w:w="2880"/>
          </w:tcPr>
          <w:p>
            <w:r>
              <w:t>Deep Burgundy</w:t>
            </w:r>
          </w:p>
        </w:tc>
        <w:tc>
          <w:tcPr>
            <w:tcW w:type="dxa" w:w="2880"/>
          </w:tcPr>
          <w:p>
            <w:r>
              <w:t>Matte fabric finish.</w:t>
            </w:r>
          </w:p>
        </w:tc>
      </w:tr>
      <w:tr>
        <w:tc>
          <w:tcPr>
            <w:tcW w:type="dxa" w:w="2880"/>
          </w:tcPr>
          <w:p>
            <w:r>
              <w:t>Forgery Tools</w:t>
            </w:r>
          </w:p>
        </w:tc>
        <w:tc>
          <w:tcPr>
            <w:tcW w:type="dxa" w:w="2880"/>
          </w:tcPr>
          <w:p>
            <w:r>
              <w:t>Brushed Steel &amp; Brass</w:t>
            </w:r>
          </w:p>
        </w:tc>
        <w:tc>
          <w:tcPr>
            <w:tcW w:type="dxa" w:w="2880"/>
          </w:tcPr>
          <w:p>
            <w:r>
              <w:t>Clean, precision-machined appearance.</w:t>
            </w:r>
          </w:p>
        </w:tc>
      </w:tr>
      <w:tr>
        <w:tc>
          <w:tcPr>
            <w:tcW w:type="dxa" w:w="2880"/>
          </w:tcPr>
          <w:p>
            <w:r>
              <w:t>Badge</w:t>
            </w:r>
          </w:p>
        </w:tc>
        <w:tc>
          <w:tcPr>
            <w:tcW w:type="dxa" w:w="2880"/>
          </w:tcPr>
          <w:p>
            <w:r>
              <w:t>Cracked Empty Hex</w:t>
            </w:r>
          </w:p>
        </w:tc>
        <w:tc>
          <w:tcPr>
            <w:tcW w:type="dxa" w:w="2880"/>
          </w:tcPr>
          <w:p>
            <w:r>
              <w:t>Weathered metallic finish with restrained contrast.</w:t>
            </w:r>
          </w:p>
        </w:tc>
      </w:tr>
    </w:tbl>
    <w:p>
      <w:pPr>
        <w:pStyle w:val="Heading1"/>
      </w:pPr>
      <w:r>
        <w:t>Material Specifications</w:t>
      </w:r>
    </w:p>
    <w:p>
      <w:pPr>
        <w:pStyle w:val="ListBullet"/>
      </w:pPr>
      <w:r>
        <w:t>Scales should exhibit subtle iridescence without distracting color changes.</w:t>
      </w:r>
    </w:p>
    <w:p>
      <w:pPr>
        <w:pStyle w:val="ListBullet"/>
      </w:pPr>
      <w:r>
        <w:t>Tools feature polished metal with minimal wear.</w:t>
      </w:r>
    </w:p>
    <w:p>
      <w:pPr>
        <w:pStyle w:val="ListBullet"/>
      </w:pPr>
      <w:r>
        <w:t>Fabric elements remain tailored and understated.</w:t>
      </w:r>
    </w:p>
    <w:p>
      <w:pPr>
        <w:pStyle w:val="ListBullet"/>
      </w:pPr>
      <w:r>
        <w:t>Surface finishes communicate precision craftsmanship.</w:t>
      </w:r>
    </w:p>
    <w:p>
      <w:pPr>
        <w:pStyle w:val="Heading1"/>
      </w:pPr>
      <w:r>
        <w:t>Lighting Standards</w:t>
      </w:r>
    </w:p>
    <w:p>
      <w:pPr>
        <w:pStyle w:val="ListBullet"/>
      </w:pPr>
      <w:r>
        <w:t>Prismatic eyes catch light naturally without glowing.</w:t>
      </w:r>
    </w:p>
    <w:p>
      <w:pPr>
        <w:pStyle w:val="ListBullet"/>
      </w:pPr>
      <w:r>
        <w:t>Bronze scales shift gently with viewing angle.</w:t>
      </w:r>
    </w:p>
    <w:p>
      <w:pPr>
        <w:pStyle w:val="ListBullet"/>
      </w:pPr>
      <w:r>
        <w:t>Metal tools provide crisp highlights that reinforce attention to detail.</w:t>
      </w:r>
    </w:p>
    <w:p>
      <w:pPr>
        <w:pStyle w:val="Heading1"/>
      </w:pPr>
      <w:r>
        <w:t>Manufacturing Requirements</w:t>
      </w:r>
    </w:p>
    <w:p>
      <w:pPr>
        <w:pStyle w:val="ListBullet"/>
      </w:pPr>
      <w:r>
        <w:t>Maintain consistent bronze coloration across production batches.</w:t>
      </w:r>
    </w:p>
    <w:p>
      <w:pPr>
        <w:pStyle w:val="ListBullet"/>
      </w:pPr>
      <w:r>
        <w:t>Preserve four-arm anatomy and tail proportions.</w:t>
      </w:r>
    </w:p>
    <w:p>
      <w:pPr>
        <w:pStyle w:val="ListBullet"/>
      </w:pPr>
      <w:r>
        <w:t>Ensure fine detail on tools remains legible at all scales.</w:t>
      </w:r>
    </w:p>
    <w:p>
      <w:pPr>
        <w:pStyle w:val="ListBullet"/>
      </w:pPr>
      <w:r>
        <w:t>Accurately reproduce official badge placement.</w:t>
      </w:r>
    </w:p>
    <w:p>
      <w:pPr>
        <w:pStyle w:val="Heading1"/>
      </w:pPr>
      <w:r>
        <w:t>Quality Assurance</w:t>
      </w:r>
    </w:p>
    <w:p>
      <w:pPr>
        <w:pStyle w:val="ListBullet"/>
      </w:pPr>
      <w:r>
        <w:t>Character colors match approved references.</w:t>
      </w:r>
    </w:p>
    <w:p>
      <w:pPr>
        <w:pStyle w:val="ListBullet"/>
      </w:pPr>
      <w:r>
        <w:t>Scale texture remains consistent.</w:t>
      </w:r>
    </w:p>
    <w:p>
      <w:pPr>
        <w:pStyle w:val="ListBullet"/>
      </w:pPr>
      <w:r>
        <w:t>Prismatic eyes are accurately rendered.</w:t>
      </w:r>
    </w:p>
    <w:p>
      <w:pPr>
        <w:pStyle w:val="ListBullet"/>
      </w:pPr>
      <w:r>
        <w:t>Overall appearance conveys refined artistry and deceptive elegance.</w:t>
      </w:r>
    </w:p>
    <w:p>
      <w:pPr>
        <w:pStyle w:val="Heading1"/>
      </w:pPr>
      <w:r>
        <w:t>Canon Lock</w:t>
      </w:r>
    </w:p>
    <w:p>
      <w:r>
        <w:t>These color, material, manufacturing, and quality standards are canonical and mandatory for every official portrayal of THE COUNTERFEITER.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