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canonical standards governing THE HOARDER's licensed products, manufacturing specifications, brand consistency, intellectual property protection, and quality assurance requirements across all official Collectiverse media and merchandise.</w:t>
      </w:r>
    </w:p>
    <w:p>
      <w:pPr>
        <w:pStyle w:val="Heading1"/>
      </w:pPr>
      <w:r>
        <w:t>Licensing Standards</w:t>
      </w:r>
    </w:p>
    <w:p>
      <w:pPr>
        <w:pStyle w:val="ListBullet"/>
      </w:pPr>
      <w:r>
        <w:t>All licensed depictions must comply with the approved Character Master Specification.</w:t>
      </w:r>
    </w:p>
    <w:p>
      <w:pPr>
        <w:pStyle w:val="ListBullet"/>
      </w:pPr>
      <w:r>
        <w:t>The squirrel anatomy, athletic silhouette, oversized tail, work boots, and cracked empty hex badge are protected design elements.</w:t>
      </w:r>
    </w:p>
    <w:p>
      <w:pPr>
        <w:pStyle w:val="ListBullet"/>
      </w:pPr>
      <w:r>
        <w:t>Official colors, utility equipment, and proportions may not be altered without written approval.</w:t>
      </w:r>
    </w:p>
    <w:p>
      <w:pPr>
        <w:pStyle w:val="ListBullet"/>
      </w:pPr>
      <w:r>
        <w:t>THE HOARDER must consistently represent intelligence, secrecy, agility, and information control.</w:t>
      </w:r>
    </w:p>
    <w:p>
      <w:pPr>
        <w:pStyle w:val="Heading1"/>
      </w:pPr>
      <w:r>
        <w:t>Merchandise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Production Standard</w:t>
            </w:r>
          </w:p>
        </w:tc>
      </w:tr>
      <w:tr>
        <w:tc>
          <w:tcPr>
            <w:tcW w:type="dxa" w:w="4320"/>
          </w:tcPr>
          <w:p>
            <w:r>
              <w:t>Collectible Figures</w:t>
            </w:r>
          </w:p>
        </w:tc>
        <w:tc>
          <w:tcPr>
            <w:tcW w:type="dxa" w:w="4320"/>
          </w:tcPr>
          <w:p>
            <w:r>
              <w:t>Preserve athletic build, bushy tail, utility gear, and official badge.</w:t>
            </w:r>
          </w:p>
        </w:tc>
      </w:tr>
      <w:tr>
        <w:tc>
          <w:tcPr>
            <w:tcW w:type="dxa" w:w="4320"/>
          </w:tcPr>
          <w:p>
            <w:r>
              <w:t>Premium Statues</w:t>
            </w:r>
          </w:p>
        </w:tc>
        <w:tc>
          <w:tcPr>
            <w:tcW w:type="dxa" w:w="4320"/>
          </w:tcPr>
          <w:p>
            <w:r>
              <w:t>Maintain stealth posture, tail volume, and crystal details.</w:t>
            </w:r>
          </w:p>
        </w:tc>
      </w:tr>
      <w:tr>
        <w:tc>
          <w:tcPr>
            <w:tcW w:type="dxa" w:w="4320"/>
          </w:tcPr>
          <w:p>
            <w:r>
              <w:t>Apparel</w:t>
            </w:r>
          </w:p>
        </w:tc>
        <w:tc>
          <w:tcPr>
            <w:tcW w:type="dxa" w:w="4320"/>
          </w:tcPr>
          <w:p>
            <w:r>
              <w:t>Use only approved artwork, insignia, and Collectiverse branding.</w:t>
            </w:r>
          </w:p>
        </w:tc>
      </w:tr>
      <w:tr>
        <w:tc>
          <w:tcPr>
            <w:tcW w:type="dxa" w:w="4320"/>
          </w:tcPr>
          <w:p>
            <w:r>
              <w:t>Games &amp; Digital Media</w:t>
            </w:r>
          </w:p>
        </w:tc>
        <w:tc>
          <w:tcPr>
            <w:tcW w:type="dxa" w:w="4320"/>
          </w:tcPr>
          <w:p>
            <w:r>
              <w:t>Models and animations must match approved production references.</w:t>
            </w:r>
          </w:p>
        </w:tc>
      </w:tr>
      <w:tr>
        <w:tc>
          <w:tcPr>
            <w:tcW w:type="dxa" w:w="4320"/>
          </w:tcPr>
          <w:p>
            <w:r>
              <w:t>Publishing</w:t>
            </w:r>
          </w:p>
        </w:tc>
        <w:tc>
          <w:tcPr>
            <w:tcW w:type="dxa" w:w="4320"/>
          </w:tcPr>
          <w:p>
            <w:r>
              <w:t>Illustrations must preserve canonical anatomy, colors, and visual identity.</w:t>
            </w:r>
          </w:p>
        </w:tc>
      </w:tr>
    </w:tbl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purple-and-black fur coloration.</w:t>
      </w:r>
    </w:p>
    <w:p>
      <w:pPr>
        <w:pStyle w:val="ListBullet"/>
      </w:pPr>
      <w:r>
        <w:t>Preserve bushy tail proportions and silhouette.</w:t>
      </w:r>
    </w:p>
    <w:p>
      <w:pPr>
        <w:pStyle w:val="ListBullet"/>
      </w:pPr>
      <w:r>
        <w:t>Reproduce data crystals, utility gear, and badge accurately.</w:t>
      </w:r>
    </w:p>
    <w:p>
      <w:pPr>
        <w:pStyle w:val="ListBullet"/>
      </w:pPr>
      <w:r>
        <w:t>Maintain consistent fur texture and sculpt quality across production runs.</w:t>
      </w:r>
    </w:p>
    <w:p>
      <w:pPr>
        <w:pStyle w:val="Heading1"/>
      </w:pPr>
      <w:r>
        <w:t>Brand Protection</w:t>
      </w:r>
    </w:p>
    <w:p>
      <w:pPr>
        <w:pStyle w:val="ListBullet"/>
      </w:pPr>
      <w:r>
        <w:t>Do not depict THE HOARDER as lazy, clumsy, or cowardly.</w:t>
      </w:r>
    </w:p>
    <w:p>
      <w:pPr>
        <w:pStyle w:val="ListBullet"/>
      </w:pPr>
      <w:r>
        <w:t>Do not alter the squirrel species or athletic physique.</w:t>
      </w:r>
    </w:p>
    <w:p>
      <w:pPr>
        <w:pStyle w:val="ListBullet"/>
      </w:pPr>
      <w:r>
        <w:t>Do not remove signature utility gear or tail.</w:t>
      </w:r>
    </w:p>
    <w:p>
      <w:pPr>
        <w:pStyle w:val="ListBullet"/>
      </w:pPr>
      <w:r>
        <w:t>Protect the character's identity as the Syndicate's intelligence keeper.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Approved colors and materials are accurately reproduced.</w:t>
      </w:r>
    </w:p>
    <w:p>
      <w:pPr>
        <w:pStyle w:val="ListBullet"/>
      </w:pPr>
      <w:r>
        <w:t>Tail silhouette and proportions are preserved.</w:t>
      </w:r>
    </w:p>
    <w:p>
      <w:pPr>
        <w:pStyle w:val="ListBullet"/>
      </w:pPr>
      <w:r>
        <w:t>Utility equipment is complete and correctly positioned.</w:t>
      </w:r>
    </w:p>
    <w:p>
      <w:pPr>
        <w:pStyle w:val="ListBullet"/>
      </w:pPr>
      <w:r>
        <w:t>Character personality reflects intelligence, caution, and agility.</w:t>
      </w:r>
    </w:p>
    <w:p>
      <w:pPr>
        <w:pStyle w:val="ListBullet"/>
      </w:pPr>
      <w:r>
        <w:t>Brand presentation complies with Collectiverse standards.</w:t>
      </w:r>
    </w:p>
    <w:p>
      <w:pPr>
        <w:pStyle w:val="Heading1"/>
      </w:pPr>
      <w:r>
        <w:t>Canon Lock</w:t>
      </w:r>
    </w:p>
    <w:p>
      <w:r>
        <w:t>These licensing, merchandising, manufacturing, and brand protection standards are canonical and mandatory for every official portrayal and licensed product featuring THE HOARDER.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