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03 — World Bible</w:t>
      </w:r>
    </w:p>
    <w:p>
      <w:pPr>
        <w:jc w:val="center"/>
      </w:pPr>
      <w:r>
        <w:rPr>
          <w:b/>
          <w:sz w:val="36"/>
        </w:rPr>
        <w:t>Part 14 — Environmental &amp; Architectural Design Standards</w:t>
      </w:r>
    </w:p>
    <w:p>
      <w:pPr>
        <w:pStyle w:val="Heading1"/>
      </w:pPr>
      <w:r>
        <w:t>Purpose</w:t>
      </w:r>
    </w:p>
    <w:p>
      <w:r>
        <w:t>This document establishes the environmental and architectural language of the Collectiverse so every location shares a recognizable identity across animation, games, publishing, merchandise, and interactive experiences.</w:t>
      </w:r>
    </w:p>
    <w:p>
      <w:pPr>
        <w:pStyle w:val="Heading1"/>
      </w:pPr>
      <w:r>
        <w:t>Design Philosophy</w:t>
      </w:r>
    </w:p>
    <w:p>
      <w:r>
        <w:t>Every environment should communicate that history matters. Spaces should balance timeless craftsmanship with modern technology, creating places that feel welcoming, intelligent, authentic, and built for preservation.</w:t>
      </w:r>
    </w:p>
    <w:p>
      <w:pPr>
        <w:pStyle w:val="Heading1"/>
      </w:pPr>
      <w:r>
        <w:t>Architectural Language</w:t>
      </w:r>
    </w:p>
    <w:tbl>
      <w:tblPr>
        <w:tblStyle w:val="TableGrid"/>
        <w:tblW w:type="auto" w:w="0"/>
        <w:tblLook w:firstColumn="1" w:firstRow="1" w:lastColumn="0" w:lastRow="0" w:noHBand="0" w:noVBand="1" w:val="04A0"/>
      </w:tblPr>
      <w:tblGrid>
        <w:gridCol w:w="3312"/>
        <w:gridCol w:w="3312"/>
        <w:gridCol w:w="3312"/>
      </w:tblGrid>
      <w:tr>
        <w:tc>
          <w:tcPr>
            <w:tcW w:type="dxa" w:w="3312"/>
          </w:tcPr>
          <w:p>
            <w:r>
              <w:t>Environment</w:t>
            </w:r>
          </w:p>
        </w:tc>
        <w:tc>
          <w:tcPr>
            <w:tcW w:type="dxa" w:w="3312"/>
          </w:tcPr>
          <w:p>
            <w:r>
              <w:t>Visual Identity</w:t>
            </w:r>
          </w:p>
        </w:tc>
        <w:tc>
          <w:tcPr>
            <w:tcW w:type="dxa" w:w="3312"/>
          </w:tcPr>
          <w:p>
            <w:r>
              <w:t>Key Materials</w:t>
            </w:r>
          </w:p>
        </w:tc>
      </w:tr>
      <w:tr>
        <w:tc>
          <w:tcPr>
            <w:tcW w:type="dxa" w:w="3312"/>
          </w:tcPr>
          <w:p>
            <w:r>
              <w:t>Keeper Headquarters</w:t>
            </w:r>
          </w:p>
        </w:tc>
        <w:tc>
          <w:tcPr>
            <w:tcW w:type="dxa" w:w="3312"/>
          </w:tcPr>
          <w:p>
            <w:r>
              <w:t>Open, transparent, optimistic</w:t>
            </w:r>
          </w:p>
        </w:tc>
        <w:tc>
          <w:tcPr>
            <w:tcW w:type="dxa" w:w="3312"/>
          </w:tcPr>
          <w:p>
            <w:r>
              <w:t>Glass, stone, wood, brushed metal</w:t>
            </w:r>
          </w:p>
        </w:tc>
      </w:tr>
      <w:tr>
        <w:tc>
          <w:tcPr>
            <w:tcW w:type="dxa" w:w="3312"/>
          </w:tcPr>
          <w:p>
            <w:r>
              <w:t>Museums &amp; Archives</w:t>
            </w:r>
          </w:p>
        </w:tc>
        <w:tc>
          <w:tcPr>
            <w:tcW w:type="dxa" w:w="3312"/>
          </w:tcPr>
          <w:p>
            <w:r>
              <w:t>Respectful and timeless</w:t>
            </w:r>
          </w:p>
        </w:tc>
        <w:tc>
          <w:tcPr>
            <w:tcW w:type="dxa" w:w="3312"/>
          </w:tcPr>
          <w:p>
            <w:r>
              <w:t>Natural stone, oak, brass</w:t>
            </w:r>
          </w:p>
        </w:tc>
      </w:tr>
      <w:tr>
        <w:tc>
          <w:tcPr>
            <w:tcW w:type="dxa" w:w="3312"/>
          </w:tcPr>
          <w:p>
            <w:r>
              <w:t>Authentication Labs</w:t>
            </w:r>
          </w:p>
        </w:tc>
        <w:tc>
          <w:tcPr>
            <w:tcW w:type="dxa" w:w="3312"/>
          </w:tcPr>
          <w:p>
            <w:r>
              <w:t>Clean and precise</w:t>
            </w:r>
          </w:p>
        </w:tc>
        <w:tc>
          <w:tcPr>
            <w:tcW w:type="dxa" w:w="3312"/>
          </w:tcPr>
          <w:p>
            <w:r>
              <w:t>White surfaces, steel, illuminated workstations</w:t>
            </w:r>
          </w:p>
        </w:tc>
      </w:tr>
      <w:tr>
        <w:tc>
          <w:tcPr>
            <w:tcW w:type="dxa" w:w="3312"/>
          </w:tcPr>
          <w:p>
            <w:r>
              <w:t>Collector Shops</w:t>
            </w:r>
          </w:p>
        </w:tc>
        <w:tc>
          <w:tcPr>
            <w:tcW w:type="dxa" w:w="3312"/>
          </w:tcPr>
          <w:p>
            <w:r>
              <w:t>Warm and inviting</w:t>
            </w:r>
          </w:p>
        </w:tc>
        <w:tc>
          <w:tcPr>
            <w:tcW w:type="dxa" w:w="3312"/>
          </w:tcPr>
          <w:p>
            <w:r>
              <w:t>Wood shelving, display glass, vintage accents</w:t>
            </w:r>
          </w:p>
        </w:tc>
      </w:tr>
      <w:tr>
        <w:tc>
          <w:tcPr>
            <w:tcW w:type="dxa" w:w="3312"/>
          </w:tcPr>
          <w:p>
            <w:r>
              <w:t>Convention Centers</w:t>
            </w:r>
          </w:p>
        </w:tc>
        <w:tc>
          <w:tcPr>
            <w:tcW w:type="dxa" w:w="3312"/>
          </w:tcPr>
          <w:p>
            <w:r>
              <w:t>Energetic and flexible</w:t>
            </w:r>
          </w:p>
        </w:tc>
        <w:tc>
          <w:tcPr>
            <w:tcW w:type="dxa" w:w="3312"/>
          </w:tcPr>
          <w:p>
            <w:r>
              <w:t>Modular exhibits, banners, lighting</w:t>
            </w:r>
          </w:p>
        </w:tc>
      </w:tr>
      <w:tr>
        <w:tc>
          <w:tcPr>
            <w:tcW w:type="dxa" w:w="3312"/>
          </w:tcPr>
          <w:p>
            <w:r>
              <w:t>Syndicate Facilities</w:t>
            </w:r>
          </w:p>
        </w:tc>
        <w:tc>
          <w:tcPr>
            <w:tcW w:type="dxa" w:w="3312"/>
          </w:tcPr>
          <w:p>
            <w:r>
              <w:t>Hidden, modular, utilitarian</w:t>
            </w:r>
          </w:p>
        </w:tc>
        <w:tc>
          <w:tcPr>
            <w:tcW w:type="dxa" w:w="3312"/>
          </w:tcPr>
          <w:p>
            <w:r>
              <w:t>Concrete, dark steel, concealed lighting</w:t>
            </w:r>
          </w:p>
        </w:tc>
      </w:tr>
    </w:tbl>
    <w:p>
      <w:pPr>
        <w:pStyle w:val="Heading1"/>
      </w:pPr>
      <w:r>
        <w:t>Environmental Principles</w:t>
      </w:r>
    </w:p>
    <w:p>
      <w:pPr>
        <w:pStyle w:val="ListBullet"/>
      </w:pPr>
      <w:r>
        <w:t>Collections are always displayed respectfully.</w:t>
      </w:r>
    </w:p>
    <w:p>
      <w:pPr>
        <w:pStyle w:val="ListBullet"/>
      </w:pPr>
      <w:r>
        <w:t>Lighting highlights artifacts rather than overpowering them.</w:t>
      </w:r>
    </w:p>
    <w:p>
      <w:pPr>
        <w:pStyle w:val="ListBullet"/>
      </w:pPr>
      <w:r>
        <w:t>Architecture supports storytelling and navigation.</w:t>
      </w:r>
    </w:p>
    <w:p>
      <w:pPr>
        <w:pStyle w:val="ListBullet"/>
      </w:pPr>
      <w:r>
        <w:t>Technology is integrated cleanly into the environment.</w:t>
      </w:r>
    </w:p>
    <w:p>
      <w:pPr>
        <w:pStyle w:val="ListBullet"/>
      </w:pPr>
      <w:r>
        <w:t>Every location should reveal evidence of human activity and history.</w:t>
      </w:r>
    </w:p>
    <w:p>
      <w:pPr>
        <w:pStyle w:val="Heading1"/>
      </w:pPr>
      <w:r>
        <w:t>Color &amp; Atmosphere</w:t>
      </w:r>
    </w:p>
    <w:p>
      <w:r>
        <w:t>Keeper environments favor natural light, warm neutrals, blues, and polished materials that evoke trust and stewardship. Syndicate spaces use muted palettes, directional lighting, layered shadows, and concealed technology to reinforce secrecy without becoming horror-themed.</w:t>
      </w:r>
    </w:p>
    <w:p>
      <w:pPr>
        <w:pStyle w:val="Heading1"/>
      </w:pPr>
      <w:r>
        <w:t>Environmental Storytelling</w:t>
      </w:r>
    </w:p>
    <w:p>
      <w:pPr>
        <w:pStyle w:val="ListBullet"/>
      </w:pPr>
      <w:r>
        <w:t>Display historical documents and provenance records.</w:t>
      </w:r>
    </w:p>
    <w:p>
      <w:pPr>
        <w:pStyle w:val="ListBullet"/>
      </w:pPr>
      <w:r>
        <w:t>Use maps, labels, sketches, and restoration tools as background details.</w:t>
      </w:r>
    </w:p>
    <w:p>
      <w:pPr>
        <w:pStyle w:val="ListBullet"/>
      </w:pPr>
      <w:r>
        <w:t>Reflect local culture in architecture and décor.</w:t>
      </w:r>
    </w:p>
    <w:p>
      <w:pPr>
        <w:pStyle w:val="ListBullet"/>
      </w:pPr>
      <w:r>
        <w:t>Allow collectibles to tell stories through their surroundings.</w:t>
      </w:r>
    </w:p>
    <w:p>
      <w:pPr>
        <w:pStyle w:val="Heading1"/>
      </w:pPr>
      <w:r>
        <w:t>Cross-Media Consistency</w:t>
      </w:r>
    </w:p>
    <w:p>
      <w:r>
        <w:t>The same environmental identity should carry across films, series, games, books, websites, trade show booths, and licensed products so audiences immediately recognize a Collectiverse location.</w:t>
      </w:r>
    </w:p>
    <w:p>
      <w:pPr>
        <w:pStyle w:val="Heading1"/>
      </w:pPr>
      <w:r>
        <w:t>Future Expansion</w:t>
      </w:r>
    </w:p>
    <w:p>
      <w:pPr>
        <w:pStyle w:val="ListNumber"/>
      </w:pPr>
      <w:r>
        <w:t>Regional architectural guides</w:t>
      </w:r>
    </w:p>
    <w:p>
      <w:pPr>
        <w:pStyle w:val="ListNumber"/>
      </w:pPr>
      <w:r>
        <w:t>Biome-specific facility standards</w:t>
      </w:r>
    </w:p>
    <w:p>
      <w:pPr>
        <w:pStyle w:val="ListNumber"/>
      </w:pPr>
      <w:r>
        <w:t>Outdoor heritage sites</w:t>
      </w:r>
    </w:p>
    <w:p>
      <w:pPr>
        <w:pStyle w:val="ListNumber"/>
      </w:pPr>
      <w:r>
        <w:t>Traveling exhibition designs</w:t>
      </w:r>
    </w:p>
    <w:p>
      <w:pPr>
        <w:pStyle w:val="ListNumber"/>
      </w:pPr>
      <w:r>
        <w:t>Interactive museum environments</w:t>
      </w:r>
    </w:p>
    <w:p>
      <w:pPr>
        <w:pStyle w:val="ListNumber"/>
      </w:pPr>
      <w:r>
        <w:t>Virtual Collectiverse locations</w:t>
      </w:r>
    </w:p>
    <w:p>
      <w:pPr>
        <w:pStyle w:val="Heading1"/>
      </w:pPr>
      <w:r>
        <w:t>Canon Status</w:t>
      </w:r>
    </w:p>
    <w:p>
      <w:r>
        <w:t>LOCKED — All future Collectiverse environments should align with these architectural and environmental standards.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