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15 — World Continuity, Expansion &amp; Canon Lock</w:t>
      </w:r>
    </w:p>
    <w:p>
      <w:pPr>
        <w:pStyle w:val="Heading1"/>
      </w:pPr>
      <w:r>
        <w:t>Purpose</w:t>
      </w:r>
    </w:p>
    <w:p>
      <w:r>
        <w:t>This document defines the long-term continuity framework for the Collectiverse. It establishes how canon is maintained, how new stories and characters are introduced, and how the franchise expands without contradicting established lore.</w:t>
      </w:r>
    </w:p>
    <w:p>
      <w:pPr>
        <w:pStyle w:val="Heading1"/>
      </w:pPr>
      <w:r>
        <w:t>Core Continuity Principles</w:t>
      </w:r>
    </w:p>
    <w:p>
      <w:pPr>
        <w:pStyle w:val="ListBullet"/>
      </w:pPr>
      <w:r>
        <w:t>Canon is intentional and documented.</w:t>
      </w:r>
    </w:p>
    <w:p>
      <w:pPr>
        <w:pStyle w:val="ListBullet"/>
      </w:pPr>
      <w:r>
        <w:t>New material expands existing lore rather than replacing it.</w:t>
      </w:r>
    </w:p>
    <w:p>
      <w:pPr>
        <w:pStyle w:val="ListBullet"/>
      </w:pPr>
      <w:r>
        <w:t>Educational integrity is preserved across all media.</w:t>
      </w:r>
    </w:p>
    <w:p>
      <w:pPr>
        <w:pStyle w:val="ListBullet"/>
      </w:pPr>
      <w:r>
        <w:t>Consistency outweighs short-term creative convenience.</w:t>
      </w:r>
    </w:p>
    <w:p>
      <w:pPr>
        <w:pStyle w:val="ListBullet"/>
      </w:pPr>
      <w:r>
        <w:t>Every major addition must strengthen the Collectiverse mission.</w:t>
      </w:r>
    </w:p>
    <w:p>
      <w:pPr>
        <w:pStyle w:val="Heading1"/>
      </w:pPr>
      <w:r>
        <w:t>Canon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Tier</w:t>
            </w:r>
          </w:p>
        </w:tc>
        <w:tc>
          <w:tcPr>
            <w:tcW w:type="dxa" w:w="4968"/>
          </w:tcPr>
          <w:p>
            <w:r>
              <w:t>Authority</w:t>
            </w:r>
          </w:p>
        </w:tc>
      </w:tr>
      <w:tr>
        <w:tc>
          <w:tcPr>
            <w:tcW w:type="dxa" w:w="4968"/>
          </w:tcPr>
          <w:p>
            <w:r>
              <w:t>Tier 1</w:t>
            </w:r>
          </w:p>
        </w:tc>
        <w:tc>
          <w:tcPr>
            <w:tcW w:type="dxa" w:w="4968"/>
          </w:tcPr>
          <w:p>
            <w:r>
              <w:t>Franchise Bible, Character Bible, World Bible</w:t>
            </w:r>
          </w:p>
        </w:tc>
      </w:tr>
      <w:tr>
        <w:tc>
          <w:tcPr>
            <w:tcW w:type="dxa" w:w="4968"/>
          </w:tcPr>
          <w:p>
            <w:r>
              <w:t>Tier 2</w:t>
            </w:r>
          </w:p>
        </w:tc>
        <w:tc>
          <w:tcPr>
            <w:tcW w:type="dxa" w:w="4968"/>
          </w:tcPr>
          <w:p>
            <w:r>
              <w:t>Story Bible, Production Bible, Style Guides</w:t>
            </w:r>
          </w:p>
        </w:tc>
      </w:tr>
      <w:tr>
        <w:tc>
          <w:tcPr>
            <w:tcW w:type="dxa" w:w="4968"/>
          </w:tcPr>
          <w:p>
            <w:r>
              <w:t>Tier 3</w:t>
            </w:r>
          </w:p>
        </w:tc>
        <w:tc>
          <w:tcPr>
            <w:tcW w:type="dxa" w:w="4968"/>
          </w:tcPr>
          <w:p>
            <w:r>
              <w:t>Published animation, comics, books, games</w:t>
            </w:r>
          </w:p>
        </w:tc>
      </w:tr>
      <w:tr>
        <w:tc>
          <w:tcPr>
            <w:tcW w:type="dxa" w:w="4968"/>
          </w:tcPr>
          <w:p>
            <w:r>
              <w:t>Tier 4</w:t>
            </w:r>
          </w:p>
        </w:tc>
        <w:tc>
          <w:tcPr>
            <w:tcW w:type="dxa" w:w="4968"/>
          </w:tcPr>
          <w:p>
            <w:r>
              <w:t>Marketing, educational content, promotional media</w:t>
            </w:r>
          </w:p>
        </w:tc>
      </w:tr>
    </w:tbl>
    <w:p>
      <w:pPr>
        <w:pStyle w:val="Heading1"/>
      </w:pPr>
      <w:r>
        <w:t>Expansion Standards</w:t>
      </w:r>
    </w:p>
    <w:p>
      <w:pPr>
        <w:pStyle w:val="ListBullet"/>
      </w:pPr>
      <w:r>
        <w:t>New heroes and villains require documented narrative purpose.</w:t>
      </w:r>
    </w:p>
    <w:p>
      <w:pPr>
        <w:pStyle w:val="ListBullet"/>
      </w:pPr>
      <w:r>
        <w:t>New locations must align with World Bible standards.</w:t>
      </w:r>
    </w:p>
    <w:p>
      <w:pPr>
        <w:pStyle w:val="ListBullet"/>
      </w:pPr>
      <w:r>
        <w:t>Technology must remain compatible with established rules.</w:t>
      </w:r>
    </w:p>
    <w:p>
      <w:pPr>
        <w:pStyle w:val="ListBullet"/>
      </w:pPr>
      <w:r>
        <w:t>Regional stories should enrich the global setting.</w:t>
      </w:r>
    </w:p>
    <w:p>
      <w:pPr>
        <w:pStyle w:val="ListBullet"/>
      </w:pPr>
      <w:r>
        <w:t>Major changes require documented approval before publication.</w:t>
      </w:r>
    </w:p>
    <w:p>
      <w:pPr>
        <w:pStyle w:val="Heading1"/>
      </w:pPr>
      <w:r>
        <w:t>Retcon Policy</w:t>
      </w:r>
    </w:p>
    <w:p>
      <w:r>
        <w:t>Retcons are avoided whenever possible. If clarification is necessary, preference is given to additive explanations that preserve previous stories. Contradictory changes require formal review and a documented canon update.</w:t>
      </w:r>
    </w:p>
    <w:p>
      <w:pPr>
        <w:pStyle w:val="Heading1"/>
      </w:pPr>
      <w:r>
        <w:t>Approval Workflow</w:t>
      </w:r>
    </w:p>
    <w:p>
      <w:pPr>
        <w:pStyle w:val="ListNumber"/>
      </w:pPr>
      <w:r>
        <w:t>Concept proposal</w:t>
      </w:r>
    </w:p>
    <w:p>
      <w:pPr>
        <w:pStyle w:val="ListNumber"/>
      </w:pPr>
      <w:r>
        <w:t>Continuity review</w:t>
      </w:r>
    </w:p>
    <w:p>
      <w:pPr>
        <w:pStyle w:val="ListNumber"/>
      </w:pPr>
      <w:r>
        <w:t>Educational and brand review</w:t>
      </w:r>
    </w:p>
    <w:p>
      <w:pPr>
        <w:pStyle w:val="ListNumber"/>
      </w:pPr>
      <w:r>
        <w:t>Visual design review</w:t>
      </w:r>
    </w:p>
    <w:p>
      <w:pPr>
        <w:pStyle w:val="ListNumber"/>
      </w:pPr>
      <w:r>
        <w:t>Canon approval</w:t>
      </w:r>
    </w:p>
    <w:p>
      <w:pPr>
        <w:pStyle w:val="ListNumber"/>
      </w:pPr>
      <w:r>
        <w:t>Production release</w:t>
      </w:r>
    </w:p>
    <w:p>
      <w:pPr>
        <w:pStyle w:val="ListNumber"/>
      </w:pPr>
      <w:r>
        <w:t>Archive into franchise reference library</w:t>
      </w:r>
    </w:p>
    <w:p>
      <w:pPr>
        <w:pStyle w:val="Heading1"/>
      </w:pPr>
      <w:r>
        <w:t>Franchise Governance</w:t>
      </w:r>
    </w:p>
    <w:p>
      <w:r>
        <w:t>The franchise maintains a single source of truth for canon documentation. All creative teams reference the latest approved bibles before developing new content.</w:t>
      </w:r>
    </w:p>
    <w:p>
      <w:pPr>
        <w:pStyle w:val="Heading1"/>
      </w:pPr>
      <w:r>
        <w:t>Future Growth</w:t>
      </w:r>
    </w:p>
    <w:p>
      <w:pPr>
        <w:pStyle w:val="ListNumber"/>
      </w:pPr>
      <w:r>
        <w:t>International settings</w:t>
      </w:r>
    </w:p>
    <w:p>
      <w:pPr>
        <w:pStyle w:val="ListNumber"/>
      </w:pPr>
      <w:r>
        <w:t>Additional Keeper teams</w:t>
      </w:r>
    </w:p>
    <w:p>
      <w:pPr>
        <w:pStyle w:val="ListNumber"/>
      </w:pPr>
      <w:r>
        <w:t>New collectible categories</w:t>
      </w:r>
    </w:p>
    <w:p>
      <w:pPr>
        <w:pStyle w:val="ListNumber"/>
      </w:pPr>
      <w:r>
        <w:t>Feature films and television</w:t>
      </w:r>
    </w:p>
    <w:p>
      <w:pPr>
        <w:pStyle w:val="ListNumber"/>
      </w:pPr>
      <w:r>
        <w:t>Interactive experiences</w:t>
      </w:r>
    </w:p>
    <w:p>
      <w:pPr>
        <w:pStyle w:val="ListNumber"/>
      </w:pPr>
      <w:r>
        <w:t>Licensed publishing and merchandise</w:t>
      </w:r>
    </w:p>
    <w:p>
      <w:pPr>
        <w:pStyle w:val="Heading1"/>
      </w:pPr>
      <w:r>
        <w:t>Canon Status</w:t>
      </w:r>
    </w:p>
    <w:p>
      <w:r>
        <w:t>LOCKED — This document concludes Volume 03. Future worldbuilding must follow these continuity rules to preserve a coherent, expandable, and enduring Collectiverse universe.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