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04 — Story Bible</w:t>
      </w:r>
    </w:p>
    <w:p>
      <w:pPr>
        <w:jc w:val="center"/>
      </w:pPr>
      <w:r>
        <w:rPr>
          <w:b/>
          <w:sz w:val="36"/>
        </w:rPr>
        <w:t>Part 07 — Educational Design, Learning Objectives &amp; Knowledge Integration</w:t>
      </w:r>
    </w:p>
    <w:p>
      <w:pPr>
        <w:pStyle w:val="Heading1"/>
      </w:pPr>
      <w:r>
        <w:t>Purpose</w:t>
      </w:r>
    </w:p>
    <w:p>
      <w:r>
        <w:t>This document establishes the educational framework for the Collectiverse. It defines how learning is integrated into every story so audiences naturally gain knowledge about collectibles, history, preservation, ethics, and critical thinking while remaining entertained.</w:t>
      </w:r>
    </w:p>
    <w:p>
      <w:pPr>
        <w:pStyle w:val="Heading1"/>
      </w:pPr>
      <w:r>
        <w:t>Educational Mission</w:t>
      </w:r>
    </w:p>
    <w:p>
      <w:r>
        <w:t>Every Collectiverse adventure should leave the audience knowing something they did not know before. Education is never presented as a lecture—it is discovered through the actions of the characters and the mysteries they solve.</w:t>
      </w:r>
    </w:p>
    <w:p>
      <w:pPr>
        <w:pStyle w:val="Heading1"/>
      </w:pPr>
      <w:r>
        <w:t>Learning Framework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Learning Area</w:t>
            </w:r>
          </w:p>
        </w:tc>
        <w:tc>
          <w:tcPr>
            <w:tcW w:type="dxa" w:w="2484"/>
          </w:tcPr>
          <w:p>
            <w:r>
              <w:t>Objective</w:t>
            </w:r>
          </w:p>
        </w:tc>
        <w:tc>
          <w:tcPr>
            <w:tcW w:type="dxa" w:w="2484"/>
          </w:tcPr>
          <w:p>
            <w:r>
              <w:t>Story Delivery</w:t>
            </w:r>
          </w:p>
        </w:tc>
        <w:tc>
          <w:tcPr>
            <w:tcW w:type="dxa" w:w="2484"/>
          </w:tcPr>
          <w:p>
            <w:r>
              <w:t>Audience Outcome</w:t>
            </w:r>
          </w:p>
        </w:tc>
      </w:tr>
      <w:tr>
        <w:tc>
          <w:tcPr>
            <w:tcW w:type="dxa" w:w="2484"/>
          </w:tcPr>
          <w:p>
            <w:r>
              <w:t>Authentication</w:t>
            </w:r>
          </w:p>
        </w:tc>
        <w:tc>
          <w:tcPr>
            <w:tcW w:type="dxa" w:w="2484"/>
          </w:tcPr>
          <w:p>
            <w:r>
              <w:t>Recognize authentic collectibles</w:t>
            </w:r>
          </w:p>
        </w:tc>
        <w:tc>
          <w:tcPr>
            <w:tcW w:type="dxa" w:w="2484"/>
          </w:tcPr>
          <w:p>
            <w:r>
              <w:t>Evidence-based investigations</w:t>
            </w:r>
          </w:p>
        </w:tc>
        <w:tc>
          <w:tcPr>
            <w:tcW w:type="dxa" w:w="2484"/>
          </w:tcPr>
          <w:p>
            <w:r>
              <w:t>Improved observation</w:t>
            </w:r>
          </w:p>
        </w:tc>
      </w:tr>
      <w:tr>
        <w:tc>
          <w:tcPr>
            <w:tcW w:type="dxa" w:w="2484"/>
          </w:tcPr>
          <w:p>
            <w:r>
              <w:t>History</w:t>
            </w:r>
          </w:p>
        </w:tc>
        <w:tc>
          <w:tcPr>
            <w:tcW w:type="dxa" w:w="2484"/>
          </w:tcPr>
          <w:p>
            <w:r>
              <w:t>Understand historical context</w:t>
            </w:r>
          </w:p>
        </w:tc>
        <w:tc>
          <w:tcPr>
            <w:tcW w:type="dxa" w:w="2484"/>
          </w:tcPr>
          <w:p>
            <w:r>
              <w:t>Character dialogue &amp; discoveries</w:t>
            </w:r>
          </w:p>
        </w:tc>
        <w:tc>
          <w:tcPr>
            <w:tcW w:type="dxa" w:w="2484"/>
          </w:tcPr>
          <w:p>
            <w:r>
              <w:t>Greater appreciation</w:t>
            </w:r>
          </w:p>
        </w:tc>
      </w:tr>
      <w:tr>
        <w:tc>
          <w:tcPr>
            <w:tcW w:type="dxa" w:w="2484"/>
          </w:tcPr>
          <w:p>
            <w:r>
              <w:t>Preservation</w:t>
            </w:r>
          </w:p>
        </w:tc>
        <w:tc>
          <w:tcPr>
            <w:tcW w:type="dxa" w:w="2484"/>
          </w:tcPr>
          <w:p>
            <w:r>
              <w:t>Learn proper care</w:t>
            </w:r>
          </w:p>
        </w:tc>
        <w:tc>
          <w:tcPr>
            <w:tcW w:type="dxa" w:w="2484"/>
          </w:tcPr>
          <w:p>
            <w:r>
              <w:t>Keeper demonstrations</w:t>
            </w:r>
          </w:p>
        </w:tc>
        <w:tc>
          <w:tcPr>
            <w:tcW w:type="dxa" w:w="2484"/>
          </w:tcPr>
          <w:p>
            <w:r>
              <w:t>Responsible stewardship</w:t>
            </w:r>
          </w:p>
        </w:tc>
      </w:tr>
      <w:tr>
        <w:tc>
          <w:tcPr>
            <w:tcW w:type="dxa" w:w="2484"/>
          </w:tcPr>
          <w:p>
            <w:r>
              <w:t>Critical Thinking</w:t>
            </w:r>
          </w:p>
        </w:tc>
        <w:tc>
          <w:tcPr>
            <w:tcW w:type="dxa" w:w="2484"/>
          </w:tcPr>
          <w:p>
            <w:r>
              <w:t>Evaluate evidence logically</w:t>
            </w:r>
          </w:p>
        </w:tc>
        <w:tc>
          <w:tcPr>
            <w:tcW w:type="dxa" w:w="2484"/>
          </w:tcPr>
          <w:p>
            <w:r>
              <w:t>Mystery solving</w:t>
            </w:r>
          </w:p>
        </w:tc>
        <w:tc>
          <w:tcPr>
            <w:tcW w:type="dxa" w:w="2484"/>
          </w:tcPr>
          <w:p>
            <w:r>
              <w:t>Analytical reasoning</w:t>
            </w:r>
          </w:p>
        </w:tc>
      </w:tr>
      <w:tr>
        <w:tc>
          <w:tcPr>
            <w:tcW w:type="dxa" w:w="2484"/>
          </w:tcPr>
          <w:p>
            <w:r>
              <w:t>Ethics</w:t>
            </w:r>
          </w:p>
        </w:tc>
        <w:tc>
          <w:tcPr>
            <w:tcW w:type="dxa" w:w="2484"/>
          </w:tcPr>
          <w:p>
            <w:r>
              <w:t>Promote honesty and fairness</w:t>
            </w:r>
          </w:p>
        </w:tc>
        <w:tc>
          <w:tcPr>
            <w:tcW w:type="dxa" w:w="2484"/>
          </w:tcPr>
          <w:p>
            <w:r>
              <w:t>Character choices</w:t>
            </w:r>
          </w:p>
        </w:tc>
        <w:tc>
          <w:tcPr>
            <w:tcW w:type="dxa" w:w="2484"/>
          </w:tcPr>
          <w:p>
            <w:r>
              <w:t>Positive decision-making</w:t>
            </w:r>
          </w:p>
        </w:tc>
      </w:tr>
      <w:tr>
        <w:tc>
          <w:tcPr>
            <w:tcW w:type="dxa" w:w="2484"/>
          </w:tcPr>
          <w:p>
            <w:r>
              <w:t>Community</w:t>
            </w:r>
          </w:p>
        </w:tc>
        <w:tc>
          <w:tcPr>
            <w:tcW w:type="dxa" w:w="2484"/>
          </w:tcPr>
          <w:p>
            <w:r>
              <w:t>Encourage collaboration</w:t>
            </w:r>
          </w:p>
        </w:tc>
        <w:tc>
          <w:tcPr>
            <w:tcW w:type="dxa" w:w="2484"/>
          </w:tcPr>
          <w:p>
            <w:r>
              <w:t>Teamwork and mentorship</w:t>
            </w:r>
          </w:p>
        </w:tc>
        <w:tc>
          <w:tcPr>
            <w:tcW w:type="dxa" w:w="2484"/>
          </w:tcPr>
          <w:p>
            <w:r>
              <w:t>Inclusive participation</w:t>
            </w:r>
          </w:p>
        </w:tc>
      </w:tr>
    </w:tbl>
    <w:p>
      <w:pPr>
        <w:pStyle w:val="Heading1"/>
      </w:pPr>
      <w:r>
        <w:t>Educational Principles</w:t>
      </w:r>
    </w:p>
    <w:p>
      <w:pPr>
        <w:pStyle w:val="ListBullet"/>
      </w:pPr>
      <w:r>
        <w:t>Teach through discovery rather than exposition.</w:t>
      </w:r>
    </w:p>
    <w:p>
      <w:pPr>
        <w:pStyle w:val="ListBullet"/>
      </w:pPr>
      <w:r>
        <w:t>Present accurate collectible information whenever possible.</w:t>
      </w:r>
    </w:p>
    <w:p>
      <w:pPr>
        <w:pStyle w:val="ListBullet"/>
      </w:pPr>
      <w:r>
        <w:t>Encourage questions instead of memorization.</w:t>
      </w:r>
    </w:p>
    <w:p>
      <w:pPr>
        <w:pStyle w:val="ListBullet"/>
      </w:pPr>
      <w:r>
        <w:t>Show why evidence matters.</w:t>
      </w:r>
    </w:p>
    <w:p>
      <w:pPr>
        <w:pStyle w:val="ListBullet"/>
      </w:pPr>
      <w:r>
        <w:t>Promote lifelong curiosity.</w:t>
      </w:r>
    </w:p>
    <w:p>
      <w:pPr>
        <w:pStyle w:val="Heading1"/>
      </w:pPr>
      <w:r>
        <w:t>Age Accessibility</w:t>
      </w:r>
    </w:p>
    <w:p>
      <w:r>
        <w:t>Educational content should scale naturally for different audiences. Younger viewers enjoy the adventure first, while older audiences and collectors discover deeper historical details, authentication techniques, and collectible knowledge through repeated viewing.</w:t>
      </w:r>
    </w:p>
    <w:p>
      <w:pPr>
        <w:pStyle w:val="Heading1"/>
      </w:pPr>
      <w:r>
        <w:t>Knowledge Integration</w:t>
      </w:r>
    </w:p>
    <w:p>
      <w:pPr>
        <w:pStyle w:val="ListBullet"/>
      </w:pPr>
      <w:r>
        <w:t>Historical facts should support the story.</w:t>
      </w:r>
    </w:p>
    <w:p>
      <w:pPr>
        <w:pStyle w:val="ListBullet"/>
      </w:pPr>
      <w:r>
        <w:t>Authentication techniques should be demonstrated accurately.</w:t>
      </w:r>
    </w:p>
    <w:p>
      <w:pPr>
        <w:pStyle w:val="ListBullet"/>
      </w:pPr>
      <w:r>
        <w:t>Collectible terminology should be introduced in context.</w:t>
      </w:r>
    </w:p>
    <w:p>
      <w:pPr>
        <w:pStyle w:val="ListBullet"/>
      </w:pPr>
      <w:r>
        <w:t>Educational moments should advance the plot.</w:t>
      </w:r>
    </w:p>
    <w:p>
      <w:pPr>
        <w:pStyle w:val="ListBullet"/>
      </w:pPr>
      <w:r>
        <w:t>Every lesson should have a practical takeaway.</w:t>
      </w:r>
    </w:p>
    <w:p>
      <w:pPr>
        <w:pStyle w:val="Heading1"/>
      </w:pPr>
      <w:r>
        <w:t>Success Criteria</w:t>
      </w:r>
    </w:p>
    <w:p>
      <w:r>
        <w:t>A successful Collectiverse story entertains first, teaches naturally, inspires further exploration, and motivates audiences to preserve, research, and responsibly enjoy collectibles.</w:t>
      </w:r>
    </w:p>
    <w:p>
      <w:pPr>
        <w:pStyle w:val="Heading1"/>
      </w:pPr>
      <w:r>
        <w:t>Canon Status</w:t>
      </w:r>
    </w:p>
    <w:p>
      <w:r>
        <w:t>LOCKED — Educational value is a foundational pillar of the Collectiverse. Every future story should integrate meaningful learning without sacrificing narrative quality or entertainment.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