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</w:t>
        <w:br/>
        <w:t>Volume 04 — Story Bible</w:t>
      </w:r>
    </w:p>
    <w:p>
      <w:pPr>
        <w:jc w:val="center"/>
      </w:pPr>
      <w:r>
        <w:rPr>
          <w:b/>
          <w:sz w:val="36"/>
        </w:rPr>
        <w:t>Part 08 — Dialogue, Voice, Humor &amp; Communication Standards</w:t>
      </w:r>
    </w:p>
    <w:p>
      <w:pPr>
        <w:pStyle w:val="Heading1"/>
      </w:pPr>
      <w:r>
        <w:t>Purpose</w:t>
      </w:r>
    </w:p>
    <w:p>
      <w:r>
        <w:t>This document defines how characters communicate throughout the Collectiverse. It establishes dialogue principles, character voice consistency, humor styles, exposition rules, and communication standards for every storytelling medium.</w:t>
      </w:r>
    </w:p>
    <w:p>
      <w:pPr>
        <w:pStyle w:val="Heading1"/>
      </w:pPr>
      <w:r>
        <w:t>Communication Philosophy</w:t>
      </w:r>
    </w:p>
    <w:p>
      <w:r>
        <w:t>Dialogue should reveal personality, advance the story, teach naturally, and strengthen relationships. Every major character should have a recognizable voice that remains consistent across animation, comics, games, books, and interactive experiences.</w:t>
      </w:r>
    </w:p>
    <w:p>
      <w:pPr>
        <w:pStyle w:val="Heading1"/>
      </w:pPr>
      <w:r>
        <w:t>Voice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Character Role</w:t>
            </w:r>
          </w:p>
        </w:tc>
        <w:tc>
          <w:tcPr>
            <w:tcW w:type="dxa" w:w="2484"/>
          </w:tcPr>
          <w:p>
            <w:r>
              <w:t>Speech Style</w:t>
            </w:r>
          </w:p>
        </w:tc>
        <w:tc>
          <w:tcPr>
            <w:tcW w:type="dxa" w:w="2484"/>
          </w:tcPr>
          <w:p>
            <w:r>
              <w:t>Primary Function</w:t>
            </w:r>
          </w:p>
        </w:tc>
        <w:tc>
          <w:tcPr>
            <w:tcW w:type="dxa" w:w="2484"/>
          </w:tcPr>
          <w:p>
            <w:r>
              <w:t>Key Trait</w:t>
            </w:r>
          </w:p>
        </w:tc>
      </w:tr>
      <w:tr>
        <w:tc>
          <w:tcPr>
            <w:tcW w:type="dxa" w:w="2484"/>
          </w:tcPr>
          <w:p>
            <w:r>
              <w:t>Atlas</w:t>
            </w:r>
          </w:p>
        </w:tc>
        <w:tc>
          <w:tcPr>
            <w:tcW w:type="dxa" w:w="2484"/>
          </w:tcPr>
          <w:p>
            <w:r>
              <w:t>Confident, encouraging</w:t>
            </w:r>
          </w:p>
        </w:tc>
        <w:tc>
          <w:tcPr>
            <w:tcW w:type="dxa" w:w="2484"/>
          </w:tcPr>
          <w:p>
            <w:r>
              <w:t>Leadership</w:t>
            </w:r>
          </w:p>
        </w:tc>
        <w:tc>
          <w:tcPr>
            <w:tcW w:type="dxa" w:w="2484"/>
          </w:tcPr>
          <w:p>
            <w:r>
              <w:t>Clear direction</w:t>
            </w:r>
          </w:p>
        </w:tc>
      </w:tr>
      <w:tr>
        <w:tc>
          <w:tcPr>
            <w:tcW w:type="dxa" w:w="2484"/>
          </w:tcPr>
          <w:p>
            <w:r>
              <w:t>Pixel</w:t>
            </w:r>
          </w:p>
        </w:tc>
        <w:tc>
          <w:tcPr>
            <w:tcW w:type="dxa" w:w="2484"/>
          </w:tcPr>
          <w:p>
            <w:r>
              <w:t>Curious, energetic</w:t>
            </w:r>
          </w:p>
        </w:tc>
        <w:tc>
          <w:tcPr>
            <w:tcW w:type="dxa" w:w="2484"/>
          </w:tcPr>
          <w:p>
            <w:r>
              <w:t>Discovery</w:t>
            </w:r>
          </w:p>
        </w:tc>
        <w:tc>
          <w:tcPr>
            <w:tcW w:type="dxa" w:w="2484"/>
          </w:tcPr>
          <w:p>
            <w:r>
              <w:t>Questions first</w:t>
            </w:r>
          </w:p>
        </w:tc>
      </w:tr>
      <w:tr>
        <w:tc>
          <w:tcPr>
            <w:tcW w:type="dxa" w:w="2484"/>
          </w:tcPr>
          <w:p>
            <w:r>
              <w:t>Ink</w:t>
            </w:r>
          </w:p>
        </w:tc>
        <w:tc>
          <w:tcPr>
            <w:tcW w:type="dxa" w:w="2484"/>
          </w:tcPr>
          <w:p>
            <w:r>
              <w:t>Thoughtful, expressive</w:t>
            </w:r>
          </w:p>
        </w:tc>
        <w:tc>
          <w:tcPr>
            <w:tcW w:type="dxa" w:w="2484"/>
          </w:tcPr>
          <w:p>
            <w:r>
              <w:t>Storytelling</w:t>
            </w:r>
          </w:p>
        </w:tc>
        <w:tc>
          <w:tcPr>
            <w:tcW w:type="dxa" w:w="2484"/>
          </w:tcPr>
          <w:p>
            <w:r>
              <w:t>Historical perspective</w:t>
            </w:r>
          </w:p>
        </w:tc>
      </w:tr>
      <w:tr>
        <w:tc>
          <w:tcPr>
            <w:tcW w:type="dxa" w:w="2484"/>
          </w:tcPr>
          <w:p>
            <w:r>
              <w:t>Sterling</w:t>
            </w:r>
          </w:p>
        </w:tc>
        <w:tc>
          <w:tcPr>
            <w:tcW w:type="dxa" w:w="2484"/>
          </w:tcPr>
          <w:p>
            <w:r>
              <w:t>Precise, refined</w:t>
            </w:r>
          </w:p>
        </w:tc>
        <w:tc>
          <w:tcPr>
            <w:tcW w:type="dxa" w:w="2484"/>
          </w:tcPr>
          <w:p>
            <w:r>
              <w:t>Authentication</w:t>
            </w:r>
          </w:p>
        </w:tc>
        <w:tc>
          <w:tcPr>
            <w:tcW w:type="dxa" w:w="2484"/>
          </w:tcPr>
          <w:p>
            <w:r>
              <w:t>Evidence focused</w:t>
            </w:r>
          </w:p>
        </w:tc>
      </w:tr>
      <w:tr>
        <w:tc>
          <w:tcPr>
            <w:tcW w:type="dxa" w:w="2484"/>
          </w:tcPr>
          <w:p>
            <w:r>
              <w:t>Forge</w:t>
            </w:r>
          </w:p>
        </w:tc>
        <w:tc>
          <w:tcPr>
            <w:tcW w:type="dxa" w:w="2484"/>
          </w:tcPr>
          <w:p>
            <w:r>
              <w:t>Practical, reassuring</w:t>
            </w:r>
          </w:p>
        </w:tc>
        <w:tc>
          <w:tcPr>
            <w:tcW w:type="dxa" w:w="2484"/>
          </w:tcPr>
          <w:p>
            <w:r>
              <w:t>Craftsmanship</w:t>
            </w:r>
          </w:p>
        </w:tc>
        <w:tc>
          <w:tcPr>
            <w:tcW w:type="dxa" w:w="2484"/>
          </w:tcPr>
          <w:p>
            <w:r>
              <w:t>Problem solver</w:t>
            </w:r>
          </w:p>
        </w:tc>
      </w:tr>
      <w:tr>
        <w:tc>
          <w:tcPr>
            <w:tcW w:type="dxa" w:w="2484"/>
          </w:tcPr>
          <w:p>
            <w:r>
              <w:t>Porter</w:t>
            </w:r>
          </w:p>
        </w:tc>
        <w:tc>
          <w:tcPr>
            <w:tcW w:type="dxa" w:w="2484"/>
          </w:tcPr>
          <w:p>
            <w:r>
              <w:t>Brief, dependable</w:t>
            </w:r>
          </w:p>
        </w:tc>
        <w:tc>
          <w:tcPr>
            <w:tcW w:type="dxa" w:w="2484"/>
          </w:tcPr>
          <w:p>
            <w:r>
              <w:t>Protection</w:t>
            </w:r>
          </w:p>
        </w:tc>
        <w:tc>
          <w:tcPr>
            <w:tcW w:type="dxa" w:w="2484"/>
          </w:tcPr>
          <w:p>
            <w:r>
              <w:t>Calm confidence</w:t>
            </w:r>
          </w:p>
        </w:tc>
      </w:tr>
      <w:tr>
        <w:tc>
          <w:tcPr>
            <w:tcW w:type="dxa" w:w="2484"/>
          </w:tcPr>
          <w:p>
            <w:r>
              <w:t>Echo</w:t>
            </w:r>
          </w:p>
        </w:tc>
        <w:tc>
          <w:tcPr>
            <w:tcW w:type="dxa" w:w="2484"/>
          </w:tcPr>
          <w:p>
            <w:r>
              <w:t>Reflective, insightful</w:t>
            </w:r>
          </w:p>
        </w:tc>
        <w:tc>
          <w:tcPr>
            <w:tcW w:type="dxa" w:w="2484"/>
          </w:tcPr>
          <w:p>
            <w:r>
              <w:t>Memory &amp; communication</w:t>
            </w:r>
          </w:p>
        </w:tc>
        <w:tc>
          <w:tcPr>
            <w:tcW w:type="dxa" w:w="2484"/>
          </w:tcPr>
          <w:p>
            <w:r>
              <w:t>Wisdom</w:t>
            </w:r>
          </w:p>
        </w:tc>
      </w:tr>
    </w:tbl>
    <w:p>
      <w:pPr>
        <w:pStyle w:val="Heading1"/>
      </w:pPr>
      <w:r>
        <w:t>Dialogue Standards</w:t>
      </w:r>
    </w:p>
    <w:p>
      <w:pPr>
        <w:pStyle w:val="ListBullet"/>
      </w:pPr>
      <w:r>
        <w:t>Characters speak with purpose.</w:t>
      </w:r>
    </w:p>
    <w:p>
      <w:pPr>
        <w:pStyle w:val="ListBullet"/>
      </w:pPr>
      <w:r>
        <w:t>Exposition is delivered through conversation and action rather than lengthy speeches.</w:t>
      </w:r>
    </w:p>
    <w:p>
      <w:pPr>
        <w:pStyle w:val="ListBullet"/>
      </w:pPr>
      <w:r>
        <w:t>Technical terms are explained through context.</w:t>
      </w:r>
    </w:p>
    <w:p>
      <w:pPr>
        <w:pStyle w:val="ListBullet"/>
      </w:pPr>
      <w:r>
        <w:t>Humor should emerge from personality and situation.</w:t>
      </w:r>
    </w:p>
    <w:p>
      <w:pPr>
        <w:pStyle w:val="ListBullet"/>
      </w:pPr>
      <w:r>
        <w:t>Dialogue remains accessible to families without talking down to the audience.</w:t>
      </w:r>
    </w:p>
    <w:p>
      <w:pPr>
        <w:pStyle w:val="Heading1"/>
      </w:pPr>
      <w:r>
        <w:t>Humor Guidelines</w:t>
      </w:r>
    </w:p>
    <w:p>
      <w:pPr>
        <w:pStyle w:val="ListBullet"/>
      </w:pPr>
      <w:r>
        <w:t>Favor wit, curiosity, and character interactions.</w:t>
      </w:r>
    </w:p>
    <w:p>
      <w:pPr>
        <w:pStyle w:val="ListBullet"/>
      </w:pPr>
      <w:r>
        <w:t>Avoid sarcasm that undermines teammates.</w:t>
      </w:r>
    </w:p>
    <w:p>
      <w:pPr>
        <w:pStyle w:val="ListBullet"/>
      </w:pPr>
      <w:r>
        <w:t>Running jokes may evolve over time.</w:t>
      </w:r>
    </w:p>
    <w:p>
      <w:pPr>
        <w:pStyle w:val="ListBullet"/>
      </w:pPr>
      <w:r>
        <w:t>Educational moments can include light humor without reducing accuracy.</w:t>
      </w:r>
    </w:p>
    <w:p>
      <w:pPr>
        <w:pStyle w:val="Heading1"/>
      </w:pPr>
      <w:r>
        <w:t>Exposition Rules</w:t>
      </w:r>
    </w:p>
    <w:p>
      <w:r>
        <w:t>Information should be uncovered as part of the investigation. Characters ask questions, test ideas, and explain discoveries only when the audience needs the information to follow the mystery.</w:t>
      </w:r>
    </w:p>
    <w:p>
      <w:pPr>
        <w:pStyle w:val="Heading1"/>
      </w:pPr>
      <w:r>
        <w:t>Cross-Media Consistency</w:t>
      </w:r>
    </w:p>
    <w:p>
      <w:r>
        <w:t>Regardless of medium, each character's vocabulary, rhythm, optimism, and emotional tone should remain immediately recognizable.</w:t>
      </w:r>
    </w:p>
    <w:p>
      <w:pPr>
        <w:pStyle w:val="Heading1"/>
      </w:pPr>
      <w:r>
        <w:t>Canon Status</w:t>
      </w:r>
    </w:p>
    <w:p>
      <w:r>
        <w:t>LOCKED — All future scripts and dialogue must follow these standards to preserve consistent character voices across the Collectiverse franchise.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