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05 — Production Bible</w:t>
      </w:r>
    </w:p>
    <w:p>
      <w:pPr>
        <w:jc w:val="center"/>
      </w:pPr>
      <w:r>
        <w:rPr>
          <w:b/>
          <w:sz w:val="36"/>
        </w:rPr>
        <w:t>Part 02 — Visual Direction, Art Style &amp; Composition Standards</w:t>
      </w:r>
    </w:p>
    <w:p>
      <w:pPr>
        <w:pStyle w:val="Heading1"/>
      </w:pPr>
      <w:r>
        <w:t>Purpose</w:t>
      </w:r>
    </w:p>
    <w:p>
      <w:r>
        <w:t>This document defines the visual language of the Collectiverse across all media. It establishes art direction, composition principles, visual hierarchy, environmental storytelling, and stylistic consistency for animation, comics, games, books, marketing, and licensed products.</w:t>
      </w:r>
    </w:p>
    <w:p>
      <w:pPr>
        <w:pStyle w:val="Heading1"/>
      </w:pPr>
      <w:r>
        <w:t>Visual Philosophy</w:t>
      </w:r>
    </w:p>
    <w:p>
      <w:r>
        <w:t>Every frame should immediately communicate curiosity, authenticity, optimism, and craftsmanship. Visuals should invite exploration while clearly supporting the story, educational goals, and emotional tone established throughout the franchise.</w:t>
      </w:r>
    </w:p>
    <w:p>
      <w:pPr>
        <w:pStyle w:val="Heading1"/>
      </w:pPr>
      <w:r>
        <w:t>Core Art Direction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Visual Element</w:t>
            </w:r>
          </w:p>
        </w:tc>
        <w:tc>
          <w:tcPr>
            <w:tcW w:type="dxa" w:w="2484"/>
          </w:tcPr>
          <w:p>
            <w:r>
              <w:t>Primary Goal</w:t>
            </w:r>
          </w:p>
        </w:tc>
        <w:tc>
          <w:tcPr>
            <w:tcW w:type="dxa" w:w="2484"/>
          </w:tcPr>
          <w:p>
            <w:r>
              <w:t>Implementation</w:t>
            </w:r>
          </w:p>
        </w:tc>
        <w:tc>
          <w:tcPr>
            <w:tcW w:type="dxa" w:w="2484"/>
          </w:tcPr>
          <w:p>
            <w:r>
              <w:t>Audience Impact</w:t>
            </w:r>
          </w:p>
        </w:tc>
      </w:tr>
      <w:tr>
        <w:tc>
          <w:tcPr>
            <w:tcW w:type="dxa" w:w="2484"/>
          </w:tcPr>
          <w:p>
            <w:r>
              <w:t>Silhouette</w:t>
            </w:r>
          </w:p>
        </w:tc>
        <w:tc>
          <w:tcPr>
            <w:tcW w:type="dxa" w:w="2484"/>
          </w:tcPr>
          <w:p>
            <w:r>
              <w:t>Instant recognition</w:t>
            </w:r>
          </w:p>
        </w:tc>
        <w:tc>
          <w:tcPr>
            <w:tcW w:type="dxa" w:w="2484"/>
          </w:tcPr>
          <w:p>
            <w:r>
              <w:t>Distinct character shapes</w:t>
            </w:r>
          </w:p>
        </w:tc>
        <w:tc>
          <w:tcPr>
            <w:tcW w:type="dxa" w:w="2484"/>
          </w:tcPr>
          <w:p>
            <w:r>
              <w:t>Immediate readability</w:t>
            </w:r>
          </w:p>
        </w:tc>
      </w:tr>
      <w:tr>
        <w:tc>
          <w:tcPr>
            <w:tcW w:type="dxa" w:w="2484"/>
          </w:tcPr>
          <w:p>
            <w:r>
              <w:t>Composition</w:t>
            </w:r>
          </w:p>
        </w:tc>
        <w:tc>
          <w:tcPr>
            <w:tcW w:type="dxa" w:w="2484"/>
          </w:tcPr>
          <w:p>
            <w:r>
              <w:t>Guide viewer attention</w:t>
            </w:r>
          </w:p>
        </w:tc>
        <w:tc>
          <w:tcPr>
            <w:tcW w:type="dxa" w:w="2484"/>
          </w:tcPr>
          <w:p>
            <w:r>
              <w:t>Clear focal points</w:t>
            </w:r>
          </w:p>
        </w:tc>
        <w:tc>
          <w:tcPr>
            <w:tcW w:type="dxa" w:w="2484"/>
          </w:tcPr>
          <w:p>
            <w:r>
              <w:t>Easy visual storytelling</w:t>
            </w:r>
          </w:p>
        </w:tc>
      </w:tr>
      <w:tr>
        <w:tc>
          <w:tcPr>
            <w:tcW w:type="dxa" w:w="2484"/>
          </w:tcPr>
          <w:p>
            <w:r>
              <w:t>Color</w:t>
            </w:r>
          </w:p>
        </w:tc>
        <w:tc>
          <w:tcPr>
            <w:tcW w:type="dxa" w:w="2484"/>
          </w:tcPr>
          <w:p>
            <w:r>
              <w:t>Support emotion &amp; identity</w:t>
            </w:r>
          </w:p>
        </w:tc>
        <w:tc>
          <w:tcPr>
            <w:tcW w:type="dxa" w:w="2484"/>
          </w:tcPr>
          <w:p>
            <w:r>
              <w:t>Controlled palettes</w:t>
            </w:r>
          </w:p>
        </w:tc>
        <w:tc>
          <w:tcPr>
            <w:tcW w:type="dxa" w:w="2484"/>
          </w:tcPr>
          <w:p>
            <w:r>
              <w:t>Strong brand recognition</w:t>
            </w:r>
          </w:p>
        </w:tc>
      </w:tr>
      <w:tr>
        <w:tc>
          <w:tcPr>
            <w:tcW w:type="dxa" w:w="2484"/>
          </w:tcPr>
          <w:p>
            <w:r>
              <w:t>Lighting</w:t>
            </w:r>
          </w:p>
        </w:tc>
        <w:tc>
          <w:tcPr>
            <w:tcW w:type="dxa" w:w="2484"/>
          </w:tcPr>
          <w:p>
            <w:r>
              <w:t>Enhance mood</w:t>
            </w:r>
          </w:p>
        </w:tc>
        <w:tc>
          <w:tcPr>
            <w:tcW w:type="dxa" w:w="2484"/>
          </w:tcPr>
          <w:p>
            <w:r>
              <w:t>Natural, purposeful illumination</w:t>
            </w:r>
          </w:p>
        </w:tc>
        <w:tc>
          <w:tcPr>
            <w:tcW w:type="dxa" w:w="2484"/>
          </w:tcPr>
          <w:p>
            <w:r>
              <w:t>Emotional clarity</w:t>
            </w:r>
          </w:p>
        </w:tc>
      </w:tr>
      <w:tr>
        <w:tc>
          <w:tcPr>
            <w:tcW w:type="dxa" w:w="2484"/>
          </w:tcPr>
          <w:p>
            <w:r>
              <w:t>Props</w:t>
            </w:r>
          </w:p>
        </w:tc>
        <w:tc>
          <w:tcPr>
            <w:tcW w:type="dxa" w:w="2484"/>
          </w:tcPr>
          <w:p>
            <w:r>
              <w:t>Support narrative</w:t>
            </w:r>
          </w:p>
        </w:tc>
        <w:tc>
          <w:tcPr>
            <w:tcW w:type="dxa" w:w="2484"/>
          </w:tcPr>
          <w:p>
            <w:r>
              <w:t>Authentic collectible details</w:t>
            </w:r>
          </w:p>
        </w:tc>
        <w:tc>
          <w:tcPr>
            <w:tcW w:type="dxa" w:w="2484"/>
          </w:tcPr>
          <w:p>
            <w:r>
              <w:t>World immersion</w:t>
            </w:r>
          </w:p>
        </w:tc>
      </w:tr>
      <w:tr>
        <w:tc>
          <w:tcPr>
            <w:tcW w:type="dxa" w:w="2484"/>
          </w:tcPr>
          <w:p>
            <w:r>
              <w:t>Backgrounds</w:t>
            </w:r>
          </w:p>
        </w:tc>
        <w:tc>
          <w:tcPr>
            <w:tcW w:type="dxa" w:w="2484"/>
          </w:tcPr>
          <w:p>
            <w:r>
              <w:t>Reinforce story</w:t>
            </w:r>
          </w:p>
        </w:tc>
        <w:tc>
          <w:tcPr>
            <w:tcW w:type="dxa" w:w="2484"/>
          </w:tcPr>
          <w:p>
            <w:r>
              <w:t>Layered environmental storytelling</w:t>
            </w:r>
          </w:p>
        </w:tc>
        <w:tc>
          <w:tcPr>
            <w:tcW w:type="dxa" w:w="2484"/>
          </w:tcPr>
          <w:p>
            <w:r>
              <w:t>Believable world</w:t>
            </w:r>
          </w:p>
        </w:tc>
      </w:tr>
    </w:tbl>
    <w:p>
      <w:pPr>
        <w:pStyle w:val="Heading1"/>
      </w:pPr>
      <w:r>
        <w:t>Composition Standards</w:t>
      </w:r>
    </w:p>
    <w:p>
      <w:pPr>
        <w:pStyle w:val="ListBullet"/>
      </w:pPr>
      <w:r>
        <w:t>Primary subjects remain immediately readable.</w:t>
      </w:r>
    </w:p>
    <w:p>
      <w:pPr>
        <w:pStyle w:val="ListBullet"/>
      </w:pPr>
      <w:r>
        <w:t>Visual hierarchy always supports the narrative.</w:t>
      </w:r>
    </w:p>
    <w:p>
      <w:pPr>
        <w:pStyle w:val="ListBullet"/>
      </w:pPr>
      <w:r>
        <w:t>Background detail enriches rather than distracts.</w:t>
      </w:r>
    </w:p>
    <w:p>
      <w:pPr>
        <w:pStyle w:val="ListBullet"/>
      </w:pPr>
      <w:r>
        <w:t>Negative space improves clarity when appropriate.</w:t>
      </w:r>
    </w:p>
    <w:p>
      <w:pPr>
        <w:pStyle w:val="ListBullet"/>
      </w:pPr>
      <w:r>
        <w:t>Important collectibles receive intentional framing.</w:t>
      </w:r>
    </w:p>
    <w:p>
      <w:pPr>
        <w:pStyle w:val="Heading1"/>
      </w:pPr>
      <w:r>
        <w:t>Art Style Rules</w:t>
      </w:r>
    </w:p>
    <w:p>
      <w:pPr>
        <w:pStyle w:val="ListBullet"/>
      </w:pPr>
      <w:r>
        <w:t>Maintain the established Collectiverse chibi proportions.</w:t>
      </w:r>
    </w:p>
    <w:p>
      <w:pPr>
        <w:pStyle w:val="ListBullet"/>
      </w:pPr>
      <w:r>
        <w:t>Preserve character color palettes and model sheets.</w:t>
      </w:r>
    </w:p>
    <w:p>
      <w:pPr>
        <w:pStyle w:val="ListBullet"/>
      </w:pPr>
      <w:r>
        <w:t>Blend modern technology with timeless craftsmanship.</w:t>
      </w:r>
    </w:p>
    <w:p>
      <w:pPr>
        <w:pStyle w:val="ListBullet"/>
      </w:pPr>
      <w:r>
        <w:t>Favor clean, appealing shapes over unnecessary complexity.</w:t>
      </w:r>
    </w:p>
    <w:p>
      <w:pPr>
        <w:pStyle w:val="ListBullet"/>
      </w:pPr>
      <w:r>
        <w:t>Every asset should remain recognizable at multiple scales.</w:t>
      </w:r>
    </w:p>
    <w:p>
      <w:pPr>
        <w:pStyle w:val="Heading1"/>
      </w:pPr>
      <w:r>
        <w:t>Cross-Media Consistency</w:t>
      </w:r>
    </w:p>
    <w:p>
      <w:r>
        <w:t>Illustration, animation, games, user interfaces, packaging, educational materials, and merchandise should all share the same visual identity so audiences instantly recognize the Collectiverse regardless of platform.</w:t>
      </w:r>
    </w:p>
    <w:p>
      <w:pPr>
        <w:pStyle w:val="Heading1"/>
      </w:pPr>
      <w:r>
        <w:t>Production Checklist</w:t>
      </w:r>
    </w:p>
    <w:p>
      <w:pPr>
        <w:pStyle w:val="ListNumber"/>
      </w:pPr>
      <w:r>
        <w:t>Model sheet verified</w:t>
      </w:r>
    </w:p>
    <w:p>
      <w:pPr>
        <w:pStyle w:val="ListNumber"/>
      </w:pPr>
      <w:r>
        <w:t>Approved color palette applied</w:t>
      </w:r>
    </w:p>
    <w:p>
      <w:pPr>
        <w:pStyle w:val="ListNumber"/>
      </w:pPr>
      <w:r>
        <w:t>Composition reviewed</w:t>
      </w:r>
    </w:p>
    <w:p>
      <w:pPr>
        <w:pStyle w:val="ListNumber"/>
      </w:pPr>
      <w:r>
        <w:t>Background consistency confirmed</w:t>
      </w:r>
    </w:p>
    <w:p>
      <w:pPr>
        <w:pStyle w:val="ListNumber"/>
      </w:pPr>
      <w:r>
        <w:t>Canon compliance verified</w:t>
      </w:r>
    </w:p>
    <w:p>
      <w:pPr>
        <w:pStyle w:val="ListNumber"/>
      </w:pPr>
      <w:r>
        <w:t>Final art approval</w:t>
      </w:r>
    </w:p>
    <w:p>
      <w:pPr>
        <w:pStyle w:val="Heading1"/>
      </w:pPr>
      <w:r>
        <w:t>Canon Status</w:t>
      </w:r>
    </w:p>
    <w:p>
      <w:r>
        <w:t>LOCKED — These visual standards define the official artistic direction of the Collectiverse and apply to all future productions and licensed works.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