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09 — Merchandising, Licensing, Packaging &amp; Brand Implementation Standards</w:t>
      </w:r>
    </w:p>
    <w:p>
      <w:pPr>
        <w:pStyle w:val="Heading1"/>
      </w:pPr>
      <w:r>
        <w:t>Purpose</w:t>
      </w:r>
    </w:p>
    <w:p>
      <w:r>
        <w:t>This document defines the commercial implementation standards for Collectiverse products. It establishes consistent requirements for merchandise, licensing, packaging, manufacturing, retail presentation, and brand execution across all licensed and internally produced products.</w:t>
      </w:r>
    </w:p>
    <w:p>
      <w:pPr>
        <w:pStyle w:val="Heading1"/>
      </w:pPr>
      <w:r>
        <w:t>Commercial Philosophy</w:t>
      </w:r>
    </w:p>
    <w:p>
      <w:r>
        <w:t>Every physical product should reflect the same quality, authenticity, and educational values as the core franchise. Packaging and presentation are extensions of the storytelling experience.</w:t>
      </w:r>
    </w:p>
    <w:p>
      <w:pPr>
        <w:pStyle w:val="Heading1"/>
      </w:pPr>
      <w:r>
        <w:t>Merchandise Standards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Primary Standard</w:t>
            </w:r>
          </w:p>
        </w:tc>
        <w:tc>
          <w:tcPr>
            <w:tcW w:type="dxa" w:w="2484"/>
          </w:tcPr>
          <w:p>
            <w:r>
              <w:t>Review Owner</w:t>
            </w:r>
          </w:p>
        </w:tc>
        <w:tc>
          <w:tcPr>
            <w:tcW w:type="dxa" w:w="2484"/>
          </w:tcPr>
          <w:p>
            <w:r>
              <w:t>QA Focus</w:t>
            </w:r>
          </w:p>
        </w:tc>
      </w:tr>
      <w:tr>
        <w:tc>
          <w:tcPr>
            <w:tcW w:type="dxa" w:w="2484"/>
          </w:tcPr>
          <w:p>
            <w:r>
              <w:t>Figures &amp; Statues</w:t>
            </w:r>
          </w:p>
        </w:tc>
        <w:tc>
          <w:tcPr>
            <w:tcW w:type="dxa" w:w="2484"/>
          </w:tcPr>
          <w:p>
            <w:r>
              <w:t>Model accuracy</w:t>
            </w:r>
          </w:p>
        </w:tc>
        <w:tc>
          <w:tcPr>
            <w:tcW w:type="dxa" w:w="2484"/>
          </w:tcPr>
          <w:p>
            <w:r>
              <w:t>Brand Team</w:t>
            </w:r>
          </w:p>
        </w:tc>
        <w:tc>
          <w:tcPr>
            <w:tcW w:type="dxa" w:w="2484"/>
          </w:tcPr>
          <w:p>
            <w:r>
              <w:t>Paint &amp; sculpt quality</w:t>
            </w:r>
          </w:p>
        </w:tc>
      </w:tr>
      <w:tr>
        <w:tc>
          <w:tcPr>
            <w:tcW w:type="dxa" w:w="2484"/>
          </w:tcPr>
          <w:p>
            <w:r>
              <w:t>Plush</w:t>
            </w:r>
          </w:p>
        </w:tc>
        <w:tc>
          <w:tcPr>
            <w:tcW w:type="dxa" w:w="2484"/>
          </w:tcPr>
          <w:p>
            <w:r>
              <w:t>Character appeal</w:t>
            </w:r>
          </w:p>
        </w:tc>
        <w:tc>
          <w:tcPr>
            <w:tcW w:type="dxa" w:w="2484"/>
          </w:tcPr>
          <w:p>
            <w:r>
              <w:t>Character Director</w:t>
            </w:r>
          </w:p>
        </w:tc>
        <w:tc>
          <w:tcPr>
            <w:tcW w:type="dxa" w:w="2484"/>
          </w:tcPr>
          <w:p>
            <w:r>
              <w:t>Materials &amp; stitching</w:t>
            </w:r>
          </w:p>
        </w:tc>
      </w:tr>
      <w:tr>
        <w:tc>
          <w:tcPr>
            <w:tcW w:type="dxa" w:w="2484"/>
          </w:tcPr>
          <w:p>
            <w:r>
              <w:t>Apparel</w:t>
            </w:r>
          </w:p>
        </w:tc>
        <w:tc>
          <w:tcPr>
            <w:tcW w:type="dxa" w:w="2484"/>
          </w:tcPr>
          <w:p>
            <w:r>
              <w:t>Brand consistency</w:t>
            </w:r>
          </w:p>
        </w:tc>
        <w:tc>
          <w:tcPr>
            <w:tcW w:type="dxa" w:w="2484"/>
          </w:tcPr>
          <w:p>
            <w:r>
              <w:t>Creative Director</w:t>
            </w:r>
          </w:p>
        </w:tc>
        <w:tc>
          <w:tcPr>
            <w:tcW w:type="dxa" w:w="2484"/>
          </w:tcPr>
          <w:p>
            <w:r>
              <w:t>Print durability</w:t>
            </w:r>
          </w:p>
        </w:tc>
      </w:tr>
      <w:tr>
        <w:tc>
          <w:tcPr>
            <w:tcW w:type="dxa" w:w="2484"/>
          </w:tcPr>
          <w:p>
            <w:r>
              <w:t>Books</w:t>
            </w:r>
          </w:p>
        </w:tc>
        <w:tc>
          <w:tcPr>
            <w:tcW w:type="dxa" w:w="2484"/>
          </w:tcPr>
          <w:p>
            <w:r>
              <w:t>Canon accuracy</w:t>
            </w:r>
          </w:p>
        </w:tc>
        <w:tc>
          <w:tcPr>
            <w:tcW w:type="dxa" w:w="2484"/>
          </w:tcPr>
          <w:p>
            <w:r>
              <w:t>Editorial</w:t>
            </w:r>
          </w:p>
        </w:tc>
        <w:tc>
          <w:tcPr>
            <w:tcW w:type="dxa" w:w="2484"/>
          </w:tcPr>
          <w:p>
            <w:r>
              <w:t>Print fidelity</w:t>
            </w:r>
          </w:p>
        </w:tc>
      </w:tr>
      <w:tr>
        <w:tc>
          <w:tcPr>
            <w:tcW w:type="dxa" w:w="2484"/>
          </w:tcPr>
          <w:p>
            <w:r>
              <w:t>Games</w:t>
            </w:r>
          </w:p>
        </w:tc>
        <w:tc>
          <w:tcPr>
            <w:tcW w:type="dxa" w:w="2484"/>
          </w:tcPr>
          <w:p>
            <w:r>
              <w:t>Gameplay &amp; lore</w:t>
            </w:r>
          </w:p>
        </w:tc>
        <w:tc>
          <w:tcPr>
            <w:tcW w:type="dxa" w:w="2484"/>
          </w:tcPr>
          <w:p>
            <w:r>
              <w:t>Product Lead</w:t>
            </w:r>
          </w:p>
        </w:tc>
        <w:tc>
          <w:tcPr>
            <w:tcW w:type="dxa" w:w="2484"/>
          </w:tcPr>
          <w:p>
            <w:r>
              <w:t>Functional testing</w:t>
            </w:r>
          </w:p>
        </w:tc>
      </w:tr>
      <w:tr>
        <w:tc>
          <w:tcPr>
            <w:tcW w:type="dxa" w:w="2484"/>
          </w:tcPr>
          <w:p>
            <w:r>
              <w:t>Packaging</w:t>
            </w:r>
          </w:p>
        </w:tc>
        <w:tc>
          <w:tcPr>
            <w:tcW w:type="dxa" w:w="2484"/>
          </w:tcPr>
          <w:p>
            <w:r>
              <w:t>Premium presentation</w:t>
            </w:r>
          </w:p>
        </w:tc>
        <w:tc>
          <w:tcPr>
            <w:tcW w:type="dxa" w:w="2484"/>
          </w:tcPr>
          <w:p>
            <w:r>
              <w:t>Brand Team</w:t>
            </w:r>
          </w:p>
        </w:tc>
        <w:tc>
          <w:tcPr>
            <w:tcW w:type="dxa" w:w="2484"/>
          </w:tcPr>
          <w:p>
            <w:r>
              <w:t>Structural integrity</w:t>
            </w:r>
          </w:p>
        </w:tc>
      </w:tr>
    </w:tbl>
    <w:p>
      <w:pPr>
        <w:pStyle w:val="Heading1"/>
      </w:pPr>
      <w:r>
        <w:t>Packaging Standards</w:t>
      </w:r>
    </w:p>
    <w:p>
      <w:pPr>
        <w:pStyle w:val="ListBullet"/>
      </w:pPr>
      <w:r>
        <w:t>Maintain a premium unboxing experience.</w:t>
      </w:r>
    </w:p>
    <w:p>
      <w:pPr>
        <w:pStyle w:val="ListBullet"/>
      </w:pPr>
      <w:r>
        <w:t>Display approved logos, legal marks, and product identifiers.</w:t>
      </w:r>
    </w:p>
    <w:p>
      <w:pPr>
        <w:pStyle w:val="ListBullet"/>
      </w:pPr>
      <w:r>
        <w:t>Protect collectibles during shipping and retail handling.</w:t>
      </w:r>
    </w:p>
    <w:p>
      <w:pPr>
        <w:pStyle w:val="ListBullet"/>
      </w:pPr>
      <w:r>
        <w:t>Use consistent typography and color systems.</w:t>
      </w:r>
    </w:p>
    <w:p>
      <w:pPr>
        <w:pStyle w:val="ListBullet"/>
      </w:pPr>
      <w:r>
        <w:t>Support sustainable packaging materials where practical.</w:t>
      </w:r>
    </w:p>
    <w:p>
      <w:pPr>
        <w:pStyle w:val="Heading1"/>
      </w:pPr>
      <w:r>
        <w:t>Licensing Requirements</w:t>
      </w:r>
    </w:p>
    <w:p>
      <w:pPr>
        <w:pStyle w:val="ListBullet"/>
      </w:pPr>
      <w:r>
        <w:t>Licensees must use approved brand assets only.</w:t>
      </w:r>
    </w:p>
    <w:p>
      <w:pPr>
        <w:pStyle w:val="ListBullet"/>
      </w:pPr>
      <w:r>
        <w:t>All products require canon and brand review before release.</w:t>
      </w:r>
    </w:p>
    <w:p>
      <w:pPr>
        <w:pStyle w:val="ListBullet"/>
      </w:pPr>
      <w:r>
        <w:t>Manufacturing samples require written approval.</w:t>
      </w:r>
    </w:p>
    <w:p>
      <w:pPr>
        <w:pStyle w:val="ListBullet"/>
      </w:pPr>
      <w:r>
        <w:t>Changes after approval must be resubmitted.</w:t>
      </w:r>
    </w:p>
    <w:p>
      <w:pPr>
        <w:pStyle w:val="ListBullet"/>
      </w:pPr>
      <w:r>
        <w:t>Maintain traceable production records.</w:t>
      </w:r>
    </w:p>
    <w:p>
      <w:pPr>
        <w:pStyle w:val="Heading1"/>
      </w:pPr>
      <w:r>
        <w:t>Retail &amp; Brand Implementation</w:t>
      </w:r>
    </w:p>
    <w:p>
      <w:r>
        <w:t>Retail displays, point-of-sale materials, trade show booths, and e-commerce listings should present a unified visual identity that aligns with the Collectiverse brand guidelines.</w:t>
      </w:r>
    </w:p>
    <w:p>
      <w:pPr>
        <w:pStyle w:val="Heading1"/>
      </w:pPr>
      <w:r>
        <w:t>Production Approval Workflow</w:t>
      </w:r>
    </w:p>
    <w:p>
      <w:pPr>
        <w:pStyle w:val="ListNumber"/>
      </w:pPr>
      <w:r>
        <w:t>Concept approval</w:t>
      </w:r>
    </w:p>
    <w:p>
      <w:pPr>
        <w:pStyle w:val="ListNumber"/>
      </w:pPr>
      <w:r>
        <w:t>Prototype review</w:t>
      </w:r>
    </w:p>
    <w:p>
      <w:pPr>
        <w:pStyle w:val="ListNumber"/>
      </w:pPr>
      <w:r>
        <w:t>Packaging approval</w:t>
      </w:r>
    </w:p>
    <w:p>
      <w:pPr>
        <w:pStyle w:val="ListNumber"/>
      </w:pPr>
      <w:r>
        <w:t>Manufacturing sample approval</w:t>
      </w:r>
    </w:p>
    <w:p>
      <w:pPr>
        <w:pStyle w:val="ListNumber"/>
      </w:pPr>
      <w:r>
        <w:t>Final QA inspection</w:t>
      </w:r>
    </w:p>
    <w:p>
      <w:pPr>
        <w:pStyle w:val="ListNumber"/>
      </w:pPr>
      <w:r>
        <w:t>Release authorization</w:t>
      </w:r>
    </w:p>
    <w:p>
      <w:pPr>
        <w:pStyle w:val="Heading1"/>
      </w:pPr>
      <w:r>
        <w:t>Canon Status</w:t>
      </w:r>
    </w:p>
    <w:p>
      <w:r>
        <w:t>LOCKED — These standards define the official merchandising, licensing, packaging, and commercial brand implementation requirements for all Collectiverse products.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