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05 — Production Bible</w:t>
      </w:r>
    </w:p>
    <w:p>
      <w:pPr>
        <w:jc w:val="center"/>
      </w:pPr>
      <w:r>
        <w:rPr>
          <w:b/>
          <w:sz w:val="36"/>
        </w:rPr>
        <w:t>Part 10 — Production Governance, Quality Assurance, Release Management &amp; Canon Enforcement</w:t>
      </w:r>
    </w:p>
    <w:p>
      <w:pPr>
        <w:pStyle w:val="Heading1"/>
      </w:pPr>
      <w:r>
        <w:t>Purpose</w:t>
      </w:r>
    </w:p>
    <w:p>
      <w:r>
        <w:t>This document establishes the governance framework for all Collectiverse productions. It defines organizational authority, quality standards, release procedures, change management, audit requirements, and canon enforcement to ensure long-term consistency across every product, platform, and licensed work.</w:t>
      </w:r>
    </w:p>
    <w:p>
      <w:pPr>
        <w:pStyle w:val="Heading1"/>
      </w:pPr>
      <w:r>
        <w:t>Governance Philosophy</w:t>
      </w:r>
    </w:p>
    <w:p>
      <w:r>
        <w:t>Creative freedom exists within a structured governance model. Every release must preserve franchise integrity, protect intellectual property, and maintain the trust of collectors, partners, and audiences.</w:t>
      </w:r>
    </w:p>
    <w:p>
      <w:pPr>
        <w:pStyle w:val="Heading1"/>
      </w:pPr>
      <w:r>
        <w:t>Governance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Governance Area</w:t>
            </w:r>
          </w:p>
        </w:tc>
        <w:tc>
          <w:tcPr>
            <w:tcW w:type="dxa" w:w="2484"/>
          </w:tcPr>
          <w:p>
            <w:r>
              <w:t>Primary Owner</w:t>
            </w:r>
          </w:p>
        </w:tc>
        <w:tc>
          <w:tcPr>
            <w:tcW w:type="dxa" w:w="2484"/>
          </w:tcPr>
          <w:p>
            <w:r>
              <w:t>Responsibility</w:t>
            </w:r>
          </w:p>
        </w:tc>
        <w:tc>
          <w:tcPr>
            <w:tcW w:type="dxa" w:w="2484"/>
          </w:tcPr>
          <w:p>
            <w:r>
              <w:t>Approval Required</w:t>
            </w:r>
          </w:p>
        </w:tc>
      </w:tr>
      <w:tr>
        <w:tc>
          <w:tcPr>
            <w:tcW w:type="dxa" w:w="2484"/>
          </w:tcPr>
          <w:p>
            <w:r>
              <w:t>Creative Direction</w:t>
            </w:r>
          </w:p>
        </w:tc>
        <w:tc>
          <w:tcPr>
            <w:tcW w:type="dxa" w:w="2484"/>
          </w:tcPr>
          <w:p>
            <w:r>
              <w:t>Creative Director</w:t>
            </w:r>
          </w:p>
        </w:tc>
        <w:tc>
          <w:tcPr>
            <w:tcW w:type="dxa" w:w="2484"/>
          </w:tcPr>
          <w:p>
            <w:r>
              <w:t>Artistic vision &amp; storytelling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Canon Management</w:t>
            </w:r>
          </w:p>
        </w:tc>
        <w:tc>
          <w:tcPr>
            <w:tcW w:type="dxa" w:w="2484"/>
          </w:tcPr>
          <w:p>
            <w:r>
              <w:t>Canon Board</w:t>
            </w:r>
          </w:p>
        </w:tc>
        <w:tc>
          <w:tcPr>
            <w:tcW w:type="dxa" w:w="2484"/>
          </w:tcPr>
          <w:p>
            <w:r>
              <w:t>Continuity and lore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Technical Quality</w:t>
            </w:r>
          </w:p>
        </w:tc>
        <w:tc>
          <w:tcPr>
            <w:tcW w:type="dxa" w:w="2484"/>
          </w:tcPr>
          <w:p>
            <w:r>
              <w:t>Engineering Lead</w:t>
            </w:r>
          </w:p>
        </w:tc>
        <w:tc>
          <w:tcPr>
            <w:tcW w:type="dxa" w:w="2484"/>
          </w:tcPr>
          <w:p>
            <w:r>
              <w:t>Technical readiness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Brand &amp; Licensing</w:t>
            </w:r>
          </w:p>
        </w:tc>
        <w:tc>
          <w:tcPr>
            <w:tcW w:type="dxa" w:w="2484"/>
          </w:tcPr>
          <w:p>
            <w:r>
              <w:t>Brand Director</w:t>
            </w:r>
          </w:p>
        </w:tc>
        <w:tc>
          <w:tcPr>
            <w:tcW w:type="dxa" w:w="2484"/>
          </w:tcPr>
          <w:p>
            <w:r>
              <w:t>Commercial consistency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Executive Release</w:t>
            </w:r>
          </w:p>
        </w:tc>
        <w:tc>
          <w:tcPr>
            <w:tcW w:type="dxa" w:w="2484"/>
          </w:tcPr>
          <w:p>
            <w:r>
              <w:t>Studio Leadership</w:t>
            </w:r>
          </w:p>
        </w:tc>
        <w:tc>
          <w:tcPr>
            <w:tcW w:type="dxa" w:w="2484"/>
          </w:tcPr>
          <w:p>
            <w:r>
              <w:t>Final publication</w:t>
            </w:r>
          </w:p>
        </w:tc>
        <w:tc>
          <w:tcPr>
            <w:tcW w:type="dxa" w:w="2484"/>
          </w:tcPr>
          <w:p>
            <w:r>
              <w:t>Final Sign-off</w:t>
            </w:r>
          </w:p>
        </w:tc>
      </w:tr>
      <w:tr>
        <w:tc>
          <w:tcPr>
            <w:tcW w:type="dxa" w:w="2484"/>
          </w:tcPr>
          <w:p>
            <w:r>
              <w:t>Post-Release</w:t>
            </w:r>
          </w:p>
        </w:tc>
        <w:tc>
          <w:tcPr>
            <w:tcW w:type="dxa" w:w="2484"/>
          </w:tcPr>
          <w:p>
            <w:r>
              <w:t>Operations</w:t>
            </w:r>
          </w:p>
        </w:tc>
        <w:tc>
          <w:tcPr>
            <w:tcW w:type="dxa" w:w="2484"/>
          </w:tcPr>
          <w:p>
            <w:r>
              <w:t>Monitoring &amp; maintenance</w:t>
            </w:r>
          </w:p>
        </w:tc>
        <w:tc>
          <w:tcPr>
            <w:tcW w:type="dxa" w:w="2484"/>
          </w:tcPr>
          <w:p>
            <w:r>
              <w:t>As needed</w:t>
            </w:r>
          </w:p>
        </w:tc>
      </w:tr>
    </w:tbl>
    <w:p>
      <w:pPr>
        <w:pStyle w:val="Heading1"/>
      </w:pPr>
      <w:r>
        <w:t>Quality Assurance Standards</w:t>
      </w:r>
    </w:p>
    <w:p>
      <w:pPr>
        <w:pStyle w:val="ListBullet"/>
      </w:pPr>
      <w:r>
        <w:t>Every deliverable passes documented QA before release.</w:t>
      </w:r>
    </w:p>
    <w:p>
      <w:pPr>
        <w:pStyle w:val="ListBullet"/>
      </w:pPr>
      <w:r>
        <w:t>Creative, technical, accessibility, and canon reviews are mandatory.</w:t>
      </w:r>
    </w:p>
    <w:p>
      <w:pPr>
        <w:pStyle w:val="ListBullet"/>
      </w:pPr>
      <w:r>
        <w:t>Critical defects block release until resolved.</w:t>
      </w:r>
    </w:p>
    <w:p>
      <w:pPr>
        <w:pStyle w:val="ListBullet"/>
      </w:pPr>
      <w:r>
        <w:t>All approvals are recorded and traceable.</w:t>
      </w:r>
    </w:p>
    <w:p>
      <w:pPr>
        <w:pStyle w:val="ListBullet"/>
      </w:pPr>
      <w:r>
        <w:t>Regression testing is required after significant changes.</w:t>
      </w:r>
    </w:p>
    <w:p>
      <w:pPr>
        <w:pStyle w:val="Heading1"/>
      </w:pPr>
      <w:r>
        <w:t>Release Management</w:t>
      </w:r>
    </w:p>
    <w:p>
      <w:pPr>
        <w:pStyle w:val="ListBullet"/>
      </w:pPr>
      <w:r>
        <w:t>Each release receives a version number and release notes.</w:t>
      </w:r>
    </w:p>
    <w:p>
      <w:pPr>
        <w:pStyle w:val="ListBullet"/>
      </w:pPr>
      <w:r>
        <w:t>Rollback procedures must be documented before deployment.</w:t>
      </w:r>
    </w:p>
    <w:p>
      <w:pPr>
        <w:pStyle w:val="ListBullet"/>
      </w:pPr>
      <w:r>
        <w:t>Master assets are archived upon release.</w:t>
      </w:r>
    </w:p>
    <w:p>
      <w:pPr>
        <w:pStyle w:val="ListBullet"/>
      </w:pPr>
      <w:r>
        <w:t>Emergency hotfixes require expedited governance review.</w:t>
      </w:r>
    </w:p>
    <w:p>
      <w:pPr>
        <w:pStyle w:val="Heading1"/>
      </w:pPr>
      <w:r>
        <w:t>Canon Enforcement</w:t>
      </w:r>
    </w:p>
    <w:p>
      <w:pPr>
        <w:pStyle w:val="ListBullet"/>
      </w:pPr>
      <w:r>
        <w:t>The Character Bible, World Bible, Story Bible, and Production Bible are authoritative.</w:t>
      </w:r>
    </w:p>
    <w:p>
      <w:pPr>
        <w:pStyle w:val="ListBullet"/>
      </w:pPr>
      <w:r>
        <w:t>No licensed work may contradict established canon without executive approval.</w:t>
      </w:r>
    </w:p>
    <w:p>
      <w:pPr>
        <w:pStyle w:val="ListBullet"/>
      </w:pPr>
      <w:r>
        <w:t>Retired assets remain archived for historical reference.</w:t>
      </w:r>
    </w:p>
    <w:p>
      <w:pPr>
        <w:pStyle w:val="ListBullet"/>
      </w:pPr>
      <w:r>
        <w:t>All canon changes require documented review and approval.</w:t>
      </w:r>
    </w:p>
    <w:p>
      <w:pPr>
        <w:pStyle w:val="Heading1"/>
      </w:pPr>
      <w:r>
        <w:t>Continuous Improvement</w:t>
      </w:r>
    </w:p>
    <w:p>
      <w:r>
        <w:t>Following each major release, retrospective reviews should identify opportunities to improve creative workflows, production efficiency, tooling, documentation, and quality while preserving established canon.</w:t>
      </w:r>
    </w:p>
    <w:p>
      <w:pPr>
        <w:pStyle w:val="Heading1"/>
      </w:pPr>
      <w:r>
        <w:t>Final Canon Lock</w:t>
      </w:r>
    </w:p>
    <w:p>
      <w:r>
        <w:t>LOCKED — Volume 05 completes the official Collectiverse Production Bible. Together with the Franchise, Character, World, and Story Bibles, it forms the permanent governance framework for all current and future Collectiverse productions.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