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02 — Expression Libraries, Emotion Standards &amp; Facial Acting Guide</w:t>
      </w:r>
    </w:p>
    <w:p>
      <w:pPr>
        <w:pStyle w:val="Heading1"/>
      </w:pPr>
      <w:r>
        <w:t>Purpose</w:t>
      </w:r>
    </w:p>
    <w:p>
      <w:r>
        <w:t>This document defines the canonical emotional language for every Collectiverse character. It establishes standardized facial expressions, emotional intensity levels, and acting rules so performances remain consistent across animation, comics, games, illustrations, merchandise, and AI-generated assets.</w:t>
      </w:r>
    </w:p>
    <w:p>
      <w:pPr>
        <w:pStyle w:val="Heading1"/>
      </w:pPr>
      <w:r>
        <w:t>Performance Philosophy</w:t>
      </w:r>
    </w:p>
    <w:p>
      <w:r>
        <w:t>Expressions communicate personality before dialogue. Every emotion should be instantly recognizable while preserving each character's unique silhouette, species traits, and established design language.</w:t>
      </w:r>
    </w:p>
    <w:p>
      <w:pPr>
        <w:pStyle w:val="Heading1"/>
      </w:pPr>
      <w:r>
        <w:t>Core Expression Library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Expression</w:t>
            </w:r>
          </w:p>
        </w:tc>
        <w:tc>
          <w:tcPr>
            <w:tcW w:type="dxa" w:w="2484"/>
          </w:tcPr>
          <w:p>
            <w:r>
              <w:t>Primary Purpose</w:t>
            </w:r>
          </w:p>
        </w:tc>
        <w:tc>
          <w:tcPr>
            <w:tcW w:type="dxa" w:w="2484"/>
          </w:tcPr>
          <w:p>
            <w:r>
              <w:t>Intensity</w:t>
            </w:r>
          </w:p>
        </w:tc>
        <w:tc>
          <w:tcPr>
            <w:tcW w:type="dxa" w:w="2484"/>
          </w:tcPr>
          <w:p>
            <w:r>
              <w:t>Required Notes</w:t>
            </w:r>
          </w:p>
        </w:tc>
      </w:tr>
      <w:tr>
        <w:tc>
          <w:tcPr>
            <w:tcW w:type="dxa" w:w="2484"/>
          </w:tcPr>
          <w:p>
            <w:r>
              <w:t>Neutral</w:t>
            </w:r>
          </w:p>
        </w:tc>
        <w:tc>
          <w:tcPr>
            <w:tcW w:type="dxa" w:w="2484"/>
          </w:tcPr>
          <w:p>
            <w:r>
              <w:t>Default resting state</w:t>
            </w:r>
          </w:p>
        </w:tc>
        <w:tc>
          <w:tcPr>
            <w:tcW w:type="dxa" w:w="2484"/>
          </w:tcPr>
          <w:p>
            <w:r>
              <w:t>1</w:t>
            </w:r>
          </w:p>
        </w:tc>
        <w:tc>
          <w:tcPr>
            <w:tcW w:type="dxa" w:w="2484"/>
          </w:tcPr>
          <w:p>
            <w:r>
              <w:t>Reference pose</w:t>
            </w:r>
          </w:p>
        </w:tc>
      </w:tr>
      <w:tr>
        <w:tc>
          <w:tcPr>
            <w:tcW w:type="dxa" w:w="2484"/>
          </w:tcPr>
          <w:p>
            <w:r>
              <w:t>Happy</w:t>
            </w:r>
          </w:p>
        </w:tc>
        <w:tc>
          <w:tcPr>
            <w:tcW w:type="dxa" w:w="2484"/>
          </w:tcPr>
          <w:p>
            <w:r>
              <w:t>Joy &amp; success</w:t>
            </w:r>
          </w:p>
        </w:tc>
        <w:tc>
          <w:tcPr>
            <w:tcW w:type="dxa" w:w="2484"/>
          </w:tcPr>
          <w:p>
            <w:r>
              <w:t>2-5</w:t>
            </w:r>
          </w:p>
        </w:tc>
        <w:tc>
          <w:tcPr>
            <w:tcW w:type="dxa" w:w="2484"/>
          </w:tcPr>
          <w:p>
            <w:r>
              <w:t>Open, inviting</w:t>
            </w:r>
          </w:p>
        </w:tc>
      </w:tr>
      <w:tr>
        <w:tc>
          <w:tcPr>
            <w:tcW w:type="dxa" w:w="2484"/>
          </w:tcPr>
          <w:p>
            <w:r>
              <w:t>Curious</w:t>
            </w:r>
          </w:p>
        </w:tc>
        <w:tc>
          <w:tcPr>
            <w:tcW w:type="dxa" w:w="2484"/>
          </w:tcPr>
          <w:p>
            <w:r>
              <w:t>Discovery</w:t>
            </w:r>
          </w:p>
        </w:tc>
        <w:tc>
          <w:tcPr>
            <w:tcW w:type="dxa" w:w="2484"/>
          </w:tcPr>
          <w:p>
            <w:r>
              <w:t>2-4</w:t>
            </w:r>
          </w:p>
        </w:tc>
        <w:tc>
          <w:tcPr>
            <w:tcW w:type="dxa" w:w="2484"/>
          </w:tcPr>
          <w:p>
            <w:r>
              <w:t>Eyes lead focus</w:t>
            </w:r>
          </w:p>
        </w:tc>
      </w:tr>
      <w:tr>
        <w:tc>
          <w:tcPr>
            <w:tcW w:type="dxa" w:w="2484"/>
          </w:tcPr>
          <w:p>
            <w:r>
              <w:t>Determined</w:t>
            </w:r>
          </w:p>
        </w:tc>
        <w:tc>
          <w:tcPr>
            <w:tcW w:type="dxa" w:w="2484"/>
          </w:tcPr>
          <w:p>
            <w:r>
              <w:t>Problem solving</w:t>
            </w:r>
          </w:p>
        </w:tc>
        <w:tc>
          <w:tcPr>
            <w:tcW w:type="dxa" w:w="2484"/>
          </w:tcPr>
          <w:p>
            <w:r>
              <w:t>3-5</w:t>
            </w:r>
          </w:p>
        </w:tc>
        <w:tc>
          <w:tcPr>
            <w:tcW w:type="dxa" w:w="2484"/>
          </w:tcPr>
          <w:p>
            <w:r>
              <w:t>Confident posture</w:t>
            </w:r>
          </w:p>
        </w:tc>
      </w:tr>
      <w:tr>
        <w:tc>
          <w:tcPr>
            <w:tcW w:type="dxa" w:w="2484"/>
          </w:tcPr>
          <w:p>
            <w:r>
              <w:t>Surprised</w:t>
            </w:r>
          </w:p>
        </w:tc>
        <w:tc>
          <w:tcPr>
            <w:tcW w:type="dxa" w:w="2484"/>
          </w:tcPr>
          <w:p>
            <w:r>
              <w:t>Unexpected discovery</w:t>
            </w:r>
          </w:p>
        </w:tc>
        <w:tc>
          <w:tcPr>
            <w:tcW w:type="dxa" w:w="2484"/>
          </w:tcPr>
          <w:p>
            <w:r>
              <w:t>3-5</w:t>
            </w:r>
          </w:p>
        </w:tc>
        <w:tc>
          <w:tcPr>
            <w:tcW w:type="dxa" w:w="2484"/>
          </w:tcPr>
          <w:p>
            <w:r>
              <w:t>Readable silhouette</w:t>
            </w:r>
          </w:p>
        </w:tc>
      </w:tr>
      <w:tr>
        <w:tc>
          <w:tcPr>
            <w:tcW w:type="dxa" w:w="2484"/>
          </w:tcPr>
          <w:p>
            <w:r>
              <w:t>Concerned</w:t>
            </w:r>
          </w:p>
        </w:tc>
        <w:tc>
          <w:tcPr>
            <w:tcW w:type="dxa" w:w="2484"/>
          </w:tcPr>
          <w:p>
            <w:r>
              <w:t>Empathy &amp; caution</w:t>
            </w:r>
          </w:p>
        </w:tc>
        <w:tc>
          <w:tcPr>
            <w:tcW w:type="dxa" w:w="2484"/>
          </w:tcPr>
          <w:p>
            <w:r>
              <w:t>2-4</w:t>
            </w:r>
          </w:p>
        </w:tc>
        <w:tc>
          <w:tcPr>
            <w:tcW w:type="dxa" w:w="2484"/>
          </w:tcPr>
          <w:p>
            <w:r>
              <w:t>Avoid excessive fear</w:t>
            </w:r>
          </w:p>
        </w:tc>
      </w:tr>
      <w:tr>
        <w:tc>
          <w:tcPr>
            <w:tcW w:type="dxa" w:w="2484"/>
          </w:tcPr>
          <w:p>
            <w:r>
              <w:t>Celebration</w:t>
            </w:r>
          </w:p>
        </w:tc>
        <w:tc>
          <w:tcPr>
            <w:tcW w:type="dxa" w:w="2484"/>
          </w:tcPr>
          <w:p>
            <w:r>
              <w:t>Major victories</w:t>
            </w:r>
          </w:p>
        </w:tc>
        <w:tc>
          <w:tcPr>
            <w:tcW w:type="dxa" w:w="2484"/>
          </w:tcPr>
          <w:p>
            <w:r>
              <w:t>5</w:t>
            </w:r>
          </w:p>
        </w:tc>
        <w:tc>
          <w:tcPr>
            <w:tcW w:type="dxa" w:w="2484"/>
          </w:tcPr>
          <w:p>
            <w:r>
              <w:t>Full body involvement</w:t>
            </w:r>
          </w:p>
        </w:tc>
      </w:tr>
    </w:tbl>
    <w:p>
      <w:pPr>
        <w:pStyle w:val="Heading1"/>
      </w:pPr>
      <w:r>
        <w:t>Facial Acting Standards</w:t>
      </w:r>
    </w:p>
    <w:p>
      <w:pPr>
        <w:pStyle w:val="ListBullet"/>
      </w:pPr>
      <w:r>
        <w:t>Eyes communicate primary emotion before body movement.</w:t>
      </w:r>
    </w:p>
    <w:p>
      <w:pPr>
        <w:pStyle w:val="ListBullet"/>
      </w:pPr>
      <w:r>
        <w:t>Brows, ear tufts, ears, beaks, muzzles, and mouths move consistently with species anatomy.</w:t>
      </w:r>
    </w:p>
    <w:p>
      <w:pPr>
        <w:pStyle w:val="ListBullet"/>
      </w:pPr>
      <w:r>
        <w:t>Expressions remain readable at thumbnail size.</w:t>
      </w:r>
    </w:p>
    <w:p>
      <w:pPr>
        <w:pStyle w:val="ListBullet"/>
      </w:pPr>
      <w:r>
        <w:t>Avoid off-model facial distortions.</w:t>
      </w:r>
    </w:p>
    <w:p>
      <w:pPr>
        <w:pStyle w:val="ListBullet"/>
      </w:pPr>
      <w:r>
        <w:t>Hold key storytelling poses long enough for audience recognition.</w:t>
      </w:r>
    </w:p>
    <w:p>
      <w:pPr>
        <w:pStyle w:val="Heading1"/>
      </w:pPr>
      <w:r>
        <w:t>Species-Specific Guidance</w:t>
      </w:r>
    </w:p>
    <w:p>
      <w:pPr>
        <w:pStyle w:val="ListBullet"/>
      </w:pPr>
      <w:r>
        <w:t>Bird characters emphasize eye shape, feather position, and beak angle.</w:t>
      </w:r>
    </w:p>
    <w:p>
      <w:pPr>
        <w:pStyle w:val="ListBullet"/>
      </w:pPr>
      <w:r>
        <w:t>Mammals rely on brows, muzzle shape, ears, and cheeks.</w:t>
      </w:r>
    </w:p>
    <w:p>
      <w:pPr>
        <w:pStyle w:val="ListBullet"/>
      </w:pPr>
      <w:r>
        <w:t>Robots use visor, eye graphics, lighting, and head tilt to convey emotion.</w:t>
      </w:r>
    </w:p>
    <w:p>
      <w:pPr>
        <w:pStyle w:val="ListBullet"/>
      </w:pPr>
      <w:r>
        <w:t>Villains remain expressive without appearing grotesque or horror-themed.</w:t>
      </w:r>
    </w:p>
    <w:p>
      <w:pPr>
        <w:pStyle w:val="Heading1"/>
      </w:pPr>
      <w:r>
        <w:t>AI &amp; Outsourcing Requirements</w:t>
      </w:r>
    </w:p>
    <w:p>
      <w:r>
        <w:t>Generated or outsourced artwork must match the approved expression library. Any new expression becomes canonical only after review and inclusion in the master expression sheets.</w:t>
      </w:r>
    </w:p>
    <w:p>
      <w:pPr>
        <w:pStyle w:val="Heading1"/>
      </w:pPr>
      <w:r>
        <w:t>Approval Checklist</w:t>
      </w:r>
    </w:p>
    <w:p>
      <w:pPr>
        <w:pStyle w:val="ListNumber"/>
      </w:pPr>
      <w:r>
        <w:t>Expression matches approved library</w:t>
      </w:r>
    </w:p>
    <w:p>
      <w:pPr>
        <w:pStyle w:val="ListNumber"/>
      </w:pPr>
      <w:r>
        <w:t>Character remains on-model</w:t>
      </w:r>
    </w:p>
    <w:p>
      <w:pPr>
        <w:pStyle w:val="ListNumber"/>
      </w:pPr>
      <w:r>
        <w:t>Emotion clearly readable</w:t>
      </w:r>
    </w:p>
    <w:p>
      <w:pPr>
        <w:pStyle w:val="ListNumber"/>
      </w:pPr>
      <w:r>
        <w:t>Species rules respected</w:t>
      </w:r>
    </w:p>
    <w:p>
      <w:pPr>
        <w:pStyle w:val="ListNumber"/>
      </w:pPr>
      <w:r>
        <w:t>Canon review complete</w:t>
      </w:r>
    </w:p>
    <w:p>
      <w:pPr>
        <w:pStyle w:val="Heading1"/>
      </w:pPr>
      <w:r>
        <w:t>Canon Status</w:t>
      </w:r>
    </w:p>
    <w:p>
      <w:r>
        <w:t>LOCKED — These standards define the official expression library and facial acting requirements for all Collectiverse characters.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