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10: Canon Compliance, Revision Control &amp; Final Character Lock</w:t>
      </w:r>
    </w:p>
    <w:p>
      <w:pPr>
        <w:pStyle w:val="Heading1"/>
      </w:pPr>
      <w:r>
        <w:t>Purpose</w:t>
      </w:r>
    </w:p>
    <w:p>
      <w:r>
        <w:t>This concluding section establishes the governance process for Atlas as an intellectual property asset. It defines how changes are evaluated, documented, approved, and communicated to ensure that every official representation of Atlas remains consistent across all Collectiverse media.</w:t>
      </w:r>
    </w:p>
    <w:p>
      <w:pPr>
        <w:pStyle w:val="Heading1"/>
      </w:pPr>
      <w:r>
        <w:t>Canon Compliance Requirements</w:t>
      </w:r>
    </w:p>
    <w:p>
      <w:pPr>
        <w:pStyle w:val="ListBullet"/>
      </w:pPr>
      <w:r>
        <w:t>Every new Atlas asset must be reviewed against the current Character Master Specification.</w:t>
      </w:r>
    </w:p>
    <w:p>
      <w:pPr>
        <w:pStyle w:val="ListBullet"/>
      </w:pPr>
      <w:r>
        <w:t>Visual, narrative, behavioral, and technical standards are equally mandatory.</w:t>
      </w:r>
    </w:p>
    <w:p>
      <w:pPr>
        <w:pStyle w:val="ListBullet"/>
      </w:pPr>
      <w:r>
        <w:t>Temporary promotional variations must not alter Atlas's core identity.</w:t>
      </w:r>
    </w:p>
    <w:p>
      <w:pPr>
        <w:pStyle w:val="ListBullet"/>
      </w:pPr>
      <w:r>
        <w:t>Non-canon interpretations must be explicitly labeled as such.</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Approval Standard</w:t>
            </w:r>
          </w:p>
        </w:tc>
      </w:tr>
      <w:tr>
        <w:tc>
          <w:tcPr>
            <w:tcW w:type="dxa" w:w="4320"/>
          </w:tcPr>
          <w:p>
            <w:r>
              <w:t>Editorial correction</w:t>
            </w:r>
          </w:p>
        </w:tc>
        <w:tc>
          <w:tcPr>
            <w:tcW w:type="dxa" w:w="4320"/>
          </w:tcPr>
          <w:p>
            <w:r>
              <w:t>Documentation lead approval</w:t>
            </w:r>
          </w:p>
        </w:tc>
      </w:tr>
      <w:tr>
        <w:tc>
          <w:tcPr>
            <w:tcW w:type="dxa" w:w="4320"/>
          </w:tcPr>
          <w:p>
            <w:r>
              <w:t>Minor clarification</w:t>
            </w:r>
          </w:p>
        </w:tc>
        <w:tc>
          <w:tcPr>
            <w:tcW w:type="dxa" w:w="4320"/>
          </w:tcPr>
          <w:p>
            <w:r>
              <w:t>Creative director approval</w:t>
            </w:r>
          </w:p>
        </w:tc>
      </w:tr>
      <w:tr>
        <w:tc>
          <w:tcPr>
            <w:tcW w:type="dxa" w:w="4320"/>
          </w:tcPr>
          <w:p>
            <w:r>
              <w:t>Visual refinement</w:t>
            </w:r>
          </w:p>
        </w:tc>
        <w:tc>
          <w:tcPr>
            <w:tcW w:type="dxa" w:w="4320"/>
          </w:tcPr>
          <w:p>
            <w:r>
              <w:t>Art director + franchise approval</w:t>
            </w:r>
          </w:p>
        </w:tc>
      </w:tr>
      <w:tr>
        <w:tc>
          <w:tcPr>
            <w:tcW w:type="dxa" w:w="4320"/>
          </w:tcPr>
          <w:p>
            <w:r>
              <w:t>Narrative change</w:t>
            </w:r>
          </w:p>
        </w:tc>
        <w:tc>
          <w:tcPr>
            <w:tcW w:type="dxa" w:w="4320"/>
          </w:tcPr>
          <w:p>
            <w:r>
              <w:t>Story group + franchise approval</w:t>
            </w:r>
          </w:p>
        </w:tc>
      </w:tr>
      <w:tr>
        <w:tc>
          <w:tcPr>
            <w:tcW w:type="dxa" w:w="4320"/>
          </w:tcPr>
          <w:p>
            <w:r>
              <w:t>Core character change</w:t>
            </w:r>
          </w:p>
        </w:tc>
        <w:tc>
          <w:tcPr>
            <w:tcW w:type="dxa" w:w="4320"/>
          </w:tcPr>
          <w:p>
            <w:r>
              <w:t>Executive franchise approval with new CMS version</w:t>
            </w:r>
          </w:p>
        </w:tc>
      </w:tr>
    </w:tbl>
    <w:p>
      <w:pPr>
        <w:pStyle w:val="Heading1"/>
      </w:pPr>
      <w:r>
        <w:t>Version Management</w:t>
      </w:r>
    </w:p>
    <w:p>
      <w:r>
        <w:t>Each approved release of the Atlas CMS receives a unique version number, publication date, revision summary, and approval record. Archived editions remain preserved for historical reference and production traceability.</w:t>
      </w:r>
    </w:p>
    <w:p>
      <w:pPr>
        <w:pStyle w:val="Heading1"/>
      </w:pPr>
      <w:r>
        <w:t>Compliance Checklist</w:t>
      </w:r>
    </w:p>
    <w:p>
      <w:pPr>
        <w:pStyle w:val="ListBullet"/>
      </w:pPr>
      <w:r>
        <w:t>Silhouette matches approved model.</w:t>
      </w:r>
    </w:p>
    <w:p>
      <w:pPr>
        <w:pStyle w:val="ListBullet"/>
      </w:pPr>
      <w:r>
        <w:t>Colors and materials match canonical specifications.</w:t>
      </w:r>
    </w:p>
    <w:p>
      <w:pPr>
        <w:pStyle w:val="ListBullet"/>
      </w:pPr>
      <w:r>
        <w:t>Expressions and body language remain on model.</w:t>
      </w:r>
    </w:p>
    <w:p>
      <w:pPr>
        <w:pStyle w:val="ListBullet"/>
      </w:pPr>
      <w:r>
        <w:t>Dialogue and personality reflect Atlas's leadership standards.</w:t>
      </w:r>
    </w:p>
    <w:p>
      <w:pPr>
        <w:pStyle w:val="ListBullet"/>
      </w:pPr>
      <w:r>
        <w:t>Story usage complies with narrative rules.</w:t>
      </w:r>
    </w:p>
    <w:p>
      <w:pPr>
        <w:pStyle w:val="ListBullet"/>
      </w:pPr>
      <w:r>
        <w:t>Merchandise and marketing follow licensing standards.</w:t>
      </w:r>
    </w:p>
    <w:p>
      <w:pPr>
        <w:pStyle w:val="Heading1"/>
      </w:pPr>
      <w:r>
        <w:t>Final Canon Declaration</w:t>
      </w:r>
    </w:p>
    <w:p>
      <w:r>
        <w:t>The Atlas Character Master Specification is the definitive production reference for Atlas. Animation studios, illustrators, game developers, manufacturers, publishers, licensors, marketing teams, and external partners shall treat this document as the authoritative source for all official Atlas portrayals.</w:t>
      </w:r>
    </w:p>
    <w:p>
      <w:pPr>
        <w:pStyle w:val="Heading1"/>
      </w:pPr>
      <w:r>
        <w:t>Next Volume Guidance</w:t>
      </w:r>
    </w:p>
    <w:p>
      <w:r>
        <w:t>Subsequent Character Master Specifications for Pixel, Ink, Sterling, Forge, Porter, Echo, and the members of The Syndicate will follow the same structure, ensuring a unified production standard across the entire Collectiverse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