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ECHO Character Master Specification</w:t>
        <w:br/>
      </w:r>
      <w:r>
        <w:t>Part 08: Licensing, Merchandise, Manufacturing &amp; Brand Protection Standards</w:t>
      </w:r>
    </w:p>
    <w:p>
      <w:pPr>
        <w:pStyle w:val="Heading1"/>
      </w:pPr>
      <w:r>
        <w:t>Purpose</w:t>
      </w:r>
    </w:p>
    <w:p>
      <w:r>
        <w:t>This document establishes the canonical standards governing ECHO's licensed products, manufacturing requirements, brand consistency, intellectual property usage, and quality assurance across all official Collectiverse merchandise.</w:t>
      </w:r>
    </w:p>
    <w:p>
      <w:pPr>
        <w:pStyle w:val="Heading1"/>
      </w:pPr>
      <w:r>
        <w:t>Licensing Standards</w:t>
      </w:r>
    </w:p>
    <w:p>
      <w:pPr>
        <w:pStyle w:val="ListBullet"/>
      </w:pPr>
      <w:r>
        <w:t>All licensed depictions must conform to the approved Character Master Specification.</w:t>
      </w:r>
    </w:p>
    <w:p>
      <w:pPr>
        <w:pStyle w:val="ListBullet"/>
      </w:pPr>
      <w:r>
        <w:t>ECHO must always be portrayed as a wise communicator and guardian of knowledge.</w:t>
      </w:r>
    </w:p>
    <w:p>
      <w:pPr>
        <w:pStyle w:val="ListBullet"/>
      </w:pPr>
      <w:r>
        <w:t>Canonical colors, proportions, personality, and costume may not be altered without written approval.</w:t>
      </w:r>
    </w:p>
    <w:p>
      <w:pPr>
        <w:pStyle w:val="ListBullet"/>
      </w:pPr>
      <w:r>
        <w:t>The Collectiverse badge and trademarks must remain accurate and unmodified.</w:t>
      </w:r>
    </w:p>
    <w:p>
      <w:pPr>
        <w:pStyle w:val="Heading1"/>
      </w:pPr>
      <w:r>
        <w:t>Merchandise Guidelines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 Category</w:t>
            </w:r>
          </w:p>
        </w:tc>
        <w:tc>
          <w:tcPr>
            <w:tcW w:type="dxa" w:w="4320"/>
          </w:tcPr>
          <w:p>
            <w:r>
              <w:t>Production Standard</w:t>
            </w:r>
          </w:p>
        </w:tc>
      </w:tr>
      <w:tr>
        <w:tc>
          <w:tcPr>
            <w:tcW w:type="dxa" w:w="4320"/>
          </w:tcPr>
          <w:p>
            <w:r>
              <w:t>Collectible Figures</w:t>
            </w:r>
          </w:p>
        </w:tc>
        <w:tc>
          <w:tcPr>
            <w:tcW w:type="dxa" w:w="4320"/>
          </w:tcPr>
          <w:p>
            <w:r>
              <w:t>Preserve owl silhouette, amber eyes, ear tufts, compact shawl, and official badge.</w:t>
            </w:r>
          </w:p>
        </w:tc>
      </w:tr>
      <w:tr>
        <w:tc>
          <w:tcPr>
            <w:tcW w:type="dxa" w:w="4320"/>
          </w:tcPr>
          <w:p>
            <w:r>
              <w:t>Plush</w:t>
            </w:r>
          </w:p>
        </w:tc>
        <w:tc>
          <w:tcPr>
            <w:tcW w:type="dxa" w:w="4320"/>
          </w:tcPr>
          <w:p>
            <w:r>
              <w:t>Emphasize warmth, wisdom, and approachable proportions while retaining key identifying features.</w:t>
            </w:r>
          </w:p>
        </w:tc>
      </w:tr>
      <w:tr>
        <w:tc>
          <w:tcPr>
            <w:tcW w:type="dxa" w:w="4320"/>
          </w:tcPr>
          <w:p>
            <w:r>
              <w:t>Books &amp; Publishing</w:t>
            </w:r>
          </w:p>
        </w:tc>
        <w:tc>
          <w:tcPr>
            <w:tcW w:type="dxa" w:w="4320"/>
          </w:tcPr>
          <w:p>
            <w:r>
              <w:t>Illustrations must follow approved anatomy, feather patterns, and expressions.</w:t>
            </w:r>
          </w:p>
        </w:tc>
      </w:tr>
      <w:tr>
        <w:tc>
          <w:tcPr>
            <w:tcW w:type="dxa" w:w="4320"/>
          </w:tcPr>
          <w:p>
            <w:r>
              <w:t>Apparel</w:t>
            </w:r>
          </w:p>
        </w:tc>
        <w:tc>
          <w:tcPr>
            <w:tcW w:type="dxa" w:w="4320"/>
          </w:tcPr>
          <w:p>
            <w:r>
              <w:t>Use only approved character artwork and official Collectiverse branding.</w:t>
            </w:r>
          </w:p>
        </w:tc>
      </w:tr>
      <w:tr>
        <w:tc>
          <w:tcPr>
            <w:tcW w:type="dxa" w:w="4320"/>
          </w:tcPr>
          <w:p>
            <w:r>
              <w:t>Digital Products</w:t>
            </w:r>
          </w:p>
        </w:tc>
        <w:tc>
          <w:tcPr>
            <w:tcW w:type="dxa" w:w="4320"/>
          </w:tcPr>
          <w:p>
            <w:r>
              <w:t>Game models, avatars, and animations must match production references.</w:t>
            </w:r>
          </w:p>
        </w:tc>
      </w:tr>
    </w:tbl>
    <w:p>
      <w:pPr>
        <w:pStyle w:val="Heading1"/>
      </w:pPr>
      <w:r>
        <w:t>Manufacturing Requirements</w:t>
      </w:r>
    </w:p>
    <w:p>
      <w:pPr>
        <w:pStyle w:val="ListBullet"/>
      </w:pPr>
      <w:r>
        <w:t>Maintain recognizable owl proportions across all product scales.</w:t>
      </w:r>
    </w:p>
    <w:p>
      <w:pPr>
        <w:pStyle w:val="ListBullet"/>
      </w:pPr>
      <w:r>
        <w:t>Accurately reproduce eye coloration and feather markings.</w:t>
      </w:r>
    </w:p>
    <w:p>
      <w:pPr>
        <w:pStyle w:val="ListBullet"/>
      </w:pPr>
      <w:r>
        <w:t>Preserve compact shawl dimensions and badge placement.</w:t>
      </w:r>
    </w:p>
    <w:p>
      <w:pPr>
        <w:pStyle w:val="ListBullet"/>
      </w:pPr>
      <w:r>
        <w:t>Verify visual consistency during quality inspections.</w:t>
      </w:r>
    </w:p>
    <w:p>
      <w:pPr>
        <w:pStyle w:val="Heading1"/>
      </w:pPr>
      <w:r>
        <w:t>Brand Protection</w:t>
      </w:r>
    </w:p>
    <w:p>
      <w:pPr>
        <w:pStyle w:val="ListBullet"/>
      </w:pPr>
      <w:r>
        <w:t>Do not portray ECHO as manipulative or arrogant.</w:t>
      </w:r>
    </w:p>
    <w:p>
      <w:pPr>
        <w:pStyle w:val="ListBullet"/>
      </w:pPr>
      <w:r>
        <w:t>Do not replace official symbols or logos.</w:t>
      </w:r>
    </w:p>
    <w:p>
      <w:pPr>
        <w:pStyle w:val="ListBullet"/>
      </w:pPr>
      <w:r>
        <w:t>Reject unauthorized redesigns or off-model proportions.</w:t>
      </w:r>
    </w:p>
    <w:p>
      <w:pPr>
        <w:pStyle w:val="ListBullet"/>
      </w:pPr>
      <w:r>
        <w:t>Preserve ECHO's educational and community-focused identity.</w:t>
      </w:r>
    </w:p>
    <w:p>
      <w:pPr>
        <w:pStyle w:val="Heading1"/>
      </w:pPr>
      <w:r>
        <w:t>Quality Assurance Checklist</w:t>
      </w:r>
    </w:p>
    <w:p>
      <w:pPr>
        <w:pStyle w:val="ListBullet"/>
      </w:pPr>
      <w:r>
        <w:t>Visual model matches approved references.</w:t>
      </w:r>
    </w:p>
    <w:p>
      <w:pPr>
        <w:pStyle w:val="ListBullet"/>
      </w:pPr>
      <w:r>
        <w:t>Official colors and feather patterns are accurate.</w:t>
      </w:r>
    </w:p>
    <w:p>
      <w:pPr>
        <w:pStyle w:val="ListBullet"/>
      </w:pPr>
      <w:r>
        <w:t>Personality reflects wisdom, patience, and empathy.</w:t>
      </w:r>
    </w:p>
    <w:p>
      <w:pPr>
        <w:pStyle w:val="ListBullet"/>
      </w:pPr>
      <w:r>
        <w:t>Branding complies with Collectiverse standards.</w:t>
      </w:r>
    </w:p>
    <w:p>
      <w:pPr>
        <w:pStyle w:val="Heading1"/>
      </w:pPr>
      <w:r>
        <w:t>Canon Lock</w:t>
      </w:r>
    </w:p>
    <w:p>
      <w:r>
        <w:t>These licensing, merchandising, manufacturing, and brand protection standards are canonical and mandatory for every official ECHO product and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