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08: Licensing, Merchandise, Manufacturing &amp; Brand Protection Standards</w:t>
      </w:r>
    </w:p>
    <w:p>
      <w:pPr>
        <w:pStyle w:val="Heading1"/>
      </w:pPr>
      <w:r>
        <w:t>Purpose</w:t>
      </w:r>
    </w:p>
    <w:p>
      <w:r>
        <w:t>This section defines the official standards governing every commercial use of INK across licensed merchandise, publishing, animation, games, collectibles, apparel, promotional media, and future franchise products. It protects character consistency while ensuring premium production quality.</w:t>
      </w:r>
    </w:p>
    <w:p>
      <w:pPr>
        <w:pStyle w:val="Heading1"/>
      </w:pPr>
      <w:r>
        <w:t>Approved Product Categories</w:t>
      </w:r>
    </w:p>
    <w:p>
      <w:pPr>
        <w:pStyle w:val="ListBullet"/>
      </w:pPr>
      <w:r>
        <w:t>Action figures and articulated collectibles</w:t>
      </w:r>
    </w:p>
    <w:p>
      <w:pPr>
        <w:pStyle w:val="ListBullet"/>
      </w:pPr>
      <w:r>
        <w:t>Premium statues and resin collectibles</w:t>
      </w:r>
    </w:p>
    <w:p>
      <w:pPr>
        <w:pStyle w:val="ListBullet"/>
      </w:pPr>
      <w:r>
        <w:t>Plush toys and soft goods</w:t>
      </w:r>
    </w:p>
    <w:p>
      <w:pPr>
        <w:pStyle w:val="ListBullet"/>
      </w:pPr>
      <w:r>
        <w:t>Blind-box mini figures</w:t>
      </w:r>
    </w:p>
    <w:p>
      <w:pPr>
        <w:pStyle w:val="ListBullet"/>
      </w:pPr>
      <w:r>
        <w:t>Trading cards and promotional cards</w:t>
      </w:r>
    </w:p>
    <w:p>
      <w:pPr>
        <w:pStyle w:val="ListBullet"/>
      </w:pPr>
      <w:r>
        <w:t>Books, comics, and educational publications</w:t>
      </w:r>
    </w:p>
    <w:p>
      <w:pPr>
        <w:pStyle w:val="ListBullet"/>
      </w:pPr>
      <w:r>
        <w:t>Video games and interactive media</w:t>
      </w:r>
    </w:p>
    <w:p>
      <w:pPr>
        <w:pStyle w:val="ListBullet"/>
      </w:pPr>
      <w:r>
        <w:t>Apparel, stationery, and accessories</w:t>
      </w:r>
    </w:p>
    <w:p>
      <w:pPr>
        <w:pStyle w:val="ListBullet"/>
      </w:pPr>
      <w:r>
        <w:t>Digital avatars, stickers, and emojis</w:t>
      </w:r>
    </w:p>
    <w:p>
      <w:pPr>
        <w:pStyle w:val="ListBullet"/>
      </w:pPr>
      <w:r>
        <w:t>Museum exhibits, live experiences, and themed installations</w:t>
      </w:r>
    </w:p>
    <w:p>
      <w:pPr>
        <w:pStyle w:val="Heading1"/>
      </w:pPr>
      <w:r>
        <w:t>Visual Brand Standards</w:t>
      </w:r>
    </w:p>
    <w:p>
      <w:pPr>
        <w:pStyle w:val="ListBullet"/>
      </w:pPr>
      <w:r>
        <w:t>INK's rounded raven silhouette, folded wing-cape, story sash, badge, and signature quill are mandatory identifying elements.</w:t>
      </w:r>
    </w:p>
    <w:p>
      <w:pPr>
        <w:pStyle w:val="ListBullet"/>
      </w:pPr>
      <w:r>
        <w:t>The blue Collectiverse hex badge with the gold 'C' must remain visible.</w:t>
      </w:r>
    </w:p>
    <w:p>
      <w:pPr>
        <w:pStyle w:val="ListBullet"/>
      </w:pPr>
      <w:r>
        <w:t>The quill should remain the primary signature prop in most official representations.</w:t>
      </w:r>
    </w:p>
    <w:p>
      <w:pPr>
        <w:pStyle w:val="ListBullet"/>
      </w:pPr>
      <w:r>
        <w:t>Feather coloration, sash, and proportions must follow the approved CMS specifications.</w:t>
      </w:r>
    </w:p>
    <w:p>
      <w:pPr>
        <w:pStyle w:val="ListBullet"/>
      </w:pPr>
      <w:r>
        <w:t>Expressions should reinforce wisdom, warmth, curiosity, and approachability.</w:t>
      </w:r>
    </w:p>
    <w:p>
      <w:pPr>
        <w:pStyle w:val="Heading1"/>
      </w:pPr>
      <w:r>
        <w:t>Manufacturing Standards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Production Requirement</w:t>
            </w:r>
          </w:p>
        </w:tc>
      </w:tr>
      <w:tr>
        <w:tc>
          <w:tcPr>
            <w:tcW w:type="dxa" w:w="4320"/>
          </w:tcPr>
          <w:p>
            <w:r>
              <w:t>Sculpt</w:t>
            </w:r>
          </w:p>
        </w:tc>
        <w:tc>
          <w:tcPr>
            <w:tcW w:type="dxa" w:w="4320"/>
          </w:tcPr>
          <w:p>
            <w:r>
              <w:t>Maintain canonical chibi proportions, beak, feather crest, sash, and quill.</w:t>
            </w:r>
          </w:p>
        </w:tc>
      </w:tr>
      <w:tr>
        <w:tc>
          <w:tcPr>
            <w:tcW w:type="dxa" w:w="4320"/>
          </w:tcPr>
          <w:p>
            <w:r>
              <w:t>Paint</w:t>
            </w:r>
          </w:p>
        </w:tc>
        <w:tc>
          <w:tcPr>
            <w:tcW w:type="dxa" w:w="4320"/>
          </w:tcPr>
          <w:p>
            <w:r>
              <w:t>Match approved feather, eye, sash, and badge colors.</w:t>
            </w:r>
          </w:p>
        </w:tc>
      </w:tr>
      <w:tr>
        <w:tc>
          <w:tcPr>
            <w:tcW w:type="dxa" w:w="4320"/>
          </w:tcPr>
          <w:p>
            <w:r>
              <w:t>Materials</w:t>
            </w:r>
          </w:p>
        </w:tc>
        <w:tc>
          <w:tcPr>
            <w:tcW w:type="dxa" w:w="4320"/>
          </w:tcPr>
          <w:p>
            <w:r>
              <w:t>Use premium finishes appropriate to the product category.</w:t>
            </w:r>
          </w:p>
        </w:tc>
      </w:tr>
      <w:tr>
        <w:tc>
          <w:tcPr>
            <w:tcW w:type="dxa" w:w="4320"/>
          </w:tcPr>
          <w:p>
            <w:r>
              <w:t>Quality Control</w:t>
            </w:r>
          </w:p>
        </w:tc>
        <w:tc>
          <w:tcPr>
            <w:tcW w:type="dxa" w:w="4320"/>
          </w:tcPr>
          <w:p>
            <w:r>
              <w:t>Verify quill, badge, sash placement, feather details, and proportions.</w:t>
            </w:r>
          </w:p>
        </w:tc>
      </w:tr>
      <w:tr>
        <w:tc>
          <w:tcPr>
            <w:tcW w:type="dxa" w:w="4320"/>
          </w:tcPr>
          <w:p>
            <w:r>
              <w:t>Packaging</w:t>
            </w:r>
          </w:p>
        </w:tc>
        <w:tc>
          <w:tcPr>
            <w:tcW w:type="dxa" w:w="4320"/>
          </w:tcPr>
          <w:p>
            <w:r>
              <w:t>Use official Collectiverse branding and legal notices.</w:t>
            </w:r>
          </w:p>
        </w:tc>
      </w:tr>
      <w:tr>
        <w:tc>
          <w:tcPr>
            <w:tcW w:type="dxa" w:w="4320"/>
          </w:tcPr>
          <w:p>
            <w:r>
              <w:t>Documentation</w:t>
            </w:r>
          </w:p>
        </w:tc>
        <w:tc>
          <w:tcPr>
            <w:tcW w:type="dxa" w:w="4320"/>
          </w:tcPr>
          <w:p>
            <w:r>
              <w:t>Maintain revision-controlled production approvals for every licensed product.</w:t>
            </w:r>
          </w:p>
        </w:tc>
      </w:tr>
    </w:tbl>
    <w:p>
      <w:pPr>
        <w:pStyle w:val="Heading1"/>
      </w:pPr>
      <w:r>
        <w:t>Brand Protection Rules</w:t>
      </w:r>
    </w:p>
    <w:p>
      <w:pPr>
        <w:pStyle w:val="ListBullet"/>
      </w:pPr>
      <w:r>
        <w:t>INK must never be portrayed knowingly falsifying history or provenance.</w:t>
      </w:r>
    </w:p>
    <w:p>
      <w:pPr>
        <w:pStyle w:val="ListBullet"/>
      </w:pPr>
      <w:r>
        <w:t>Historical storytelling must remain family-friendly and evidence-based.</w:t>
      </w:r>
    </w:p>
    <w:p>
      <w:pPr>
        <w:pStyle w:val="ListBullet"/>
      </w:pPr>
      <w:r>
        <w:t>Licensees may not redesign INK's silhouette or signature equipment without written approval.</w:t>
      </w:r>
    </w:p>
    <w:p>
      <w:pPr>
        <w:pStyle w:val="ListBullet"/>
      </w:pPr>
      <w:r>
        <w:t>Official and non-canon interpretations must always be clearly distinguished.</w:t>
      </w:r>
    </w:p>
    <w:p>
      <w:pPr>
        <w:pStyle w:val="ListBullet"/>
      </w:pPr>
      <w:r>
        <w:t>All licensed products must comply with the latest Character Master Specification.</w:t>
      </w:r>
    </w:p>
    <w:p>
      <w:pPr>
        <w:pStyle w:val="Heading1"/>
      </w:pPr>
      <w:r>
        <w:t>Licensing Approval Workflow</w:t>
      </w:r>
    </w:p>
    <w:p>
      <w:r>
        <w:t>Every licensed INK product shall progress through concept review, character compliance review, prototype approval, manufacturing quality assurance, packaging review, and final franchise authorization before commercial release.</w:t>
      </w:r>
    </w:p>
    <w:p>
      <w:pPr>
        <w:pStyle w:val="Heading1"/>
      </w:pPr>
      <w:r>
        <w:t>Canon Lock</w:t>
      </w:r>
    </w:p>
    <w:p>
      <w:r>
        <w:t>These licensing, manufacturing, and brand protection standards are canonical. Any material change to INK's visual identity, personality, signature equipment, or historical role requires formal approval from Collectiverse Studio franchise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