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10: Canon Compliance, Revision Control &amp; Final Character Lock</w:t>
      </w:r>
    </w:p>
    <w:p>
      <w:pPr>
        <w:pStyle w:val="Heading1"/>
      </w:pPr>
      <w:r>
        <w:t>Purpose</w:t>
      </w:r>
    </w:p>
    <w:p>
      <w:r>
        <w:t>This concluding section establishes the governance framework for INK as an official Collectiverse intellectual property. It defines approval workflows, revision management, compliance requirements, and the final canonical lock that governs every future portrayal of the character.</w:t>
      </w:r>
    </w:p>
    <w:p>
      <w:pPr>
        <w:pStyle w:val="Heading1"/>
      </w:pPr>
      <w:r>
        <w:t>Canon Compliance Requirements</w:t>
      </w:r>
    </w:p>
    <w:p>
      <w:pPr>
        <w:pStyle w:val="ListBullet"/>
      </w:pPr>
      <w:r>
        <w:t>Every official INK asset must conform to the current Character Master Specification.</w:t>
      </w:r>
    </w:p>
    <w:p>
      <w:pPr>
        <w:pStyle w:val="ListBullet"/>
      </w:pPr>
      <w:r>
        <w:t>Visual, narrative, behavioral, and production standards are equally mandatory.</w:t>
      </w:r>
    </w:p>
    <w:p>
      <w:pPr>
        <w:pStyle w:val="ListBullet"/>
      </w:pPr>
      <w:r>
        <w:t>Seasonal or promotional variants may not alter INK's core identity.</w:t>
      </w:r>
    </w:p>
    <w:p>
      <w:pPr>
        <w:pStyle w:val="ListBullet"/>
      </w:pPr>
      <w:r>
        <w:t>Any alternate or experimental interpretation must be explicitly identified as non-canon.</w:t>
      </w:r>
    </w:p>
    <w:p>
      <w:pPr>
        <w:pStyle w:val="Heading1"/>
      </w:pPr>
      <w:r>
        <w:t>Revision Control</w:t>
      </w:r>
    </w:p>
    <w:tbl>
      <w:tblPr>
        <w:tblStyle w:val="TableGrid"/>
        <w:tblW w:type="auto" w:w="0"/>
        <w:tblLook w:firstColumn="1" w:firstRow="1" w:lastColumn="0" w:lastRow="0" w:noHBand="0" w:noVBand="1" w:val="04A0"/>
      </w:tblPr>
      <w:tblGrid>
        <w:gridCol w:w="4320"/>
        <w:gridCol w:w="4320"/>
      </w:tblGrid>
      <w:tr>
        <w:tc>
          <w:tcPr>
            <w:tcW w:type="dxa" w:w="4320"/>
          </w:tcPr>
          <w:p>
            <w:r>
              <w:t>Revision Type</w:t>
            </w:r>
          </w:p>
        </w:tc>
        <w:tc>
          <w:tcPr>
            <w:tcW w:type="dxa" w:w="4320"/>
          </w:tcPr>
          <w:p>
            <w:r>
              <w:t>Approval Required</w:t>
            </w:r>
          </w:p>
        </w:tc>
      </w:tr>
      <w:tr>
        <w:tc>
          <w:tcPr>
            <w:tcW w:type="dxa" w:w="4320"/>
          </w:tcPr>
          <w:p>
            <w:r>
              <w:t>Editorial correction</w:t>
            </w:r>
          </w:p>
        </w:tc>
        <w:tc>
          <w:tcPr>
            <w:tcW w:type="dxa" w:w="4320"/>
          </w:tcPr>
          <w:p>
            <w:r>
              <w:t>Documentation Lead</w:t>
            </w:r>
          </w:p>
        </w:tc>
      </w:tr>
      <w:tr>
        <w:tc>
          <w:tcPr>
            <w:tcW w:type="dxa" w:w="4320"/>
          </w:tcPr>
          <w:p>
            <w:r>
              <w:t>Minor clarification</w:t>
            </w:r>
          </w:p>
        </w:tc>
        <w:tc>
          <w:tcPr>
            <w:tcW w:type="dxa" w:w="4320"/>
          </w:tcPr>
          <w:p>
            <w:r>
              <w:t>Creative Director</w:t>
            </w:r>
          </w:p>
        </w:tc>
      </w:tr>
      <w:tr>
        <w:tc>
          <w:tcPr>
            <w:tcW w:type="dxa" w:w="4320"/>
          </w:tcPr>
          <w:p>
            <w:r>
              <w:t>Visual refinement</w:t>
            </w:r>
          </w:p>
        </w:tc>
        <w:tc>
          <w:tcPr>
            <w:tcW w:type="dxa" w:w="4320"/>
          </w:tcPr>
          <w:p>
            <w:r>
              <w:t>Art Director and Franchise Review</w:t>
            </w:r>
          </w:p>
        </w:tc>
      </w:tr>
      <w:tr>
        <w:tc>
          <w:tcPr>
            <w:tcW w:type="dxa" w:w="4320"/>
          </w:tcPr>
          <w:p>
            <w:r>
              <w:t>Narrative expansion</w:t>
            </w:r>
          </w:p>
        </w:tc>
        <w:tc>
          <w:tcPr>
            <w:tcW w:type="dxa" w:w="4320"/>
          </w:tcPr>
          <w:p>
            <w:r>
              <w:t>Story Group and Franchise Review</w:t>
            </w:r>
          </w:p>
        </w:tc>
      </w:tr>
      <w:tr>
        <w:tc>
          <w:tcPr>
            <w:tcW w:type="dxa" w:w="4320"/>
          </w:tcPr>
          <w:p>
            <w:r>
              <w:t>Core character change</w:t>
            </w:r>
          </w:p>
        </w:tc>
        <w:tc>
          <w:tcPr>
            <w:tcW w:type="dxa" w:w="4320"/>
          </w:tcPr>
          <w:p>
            <w:r>
              <w:t>Executive Franchise Approval and new CMS version</w:t>
            </w:r>
          </w:p>
        </w:tc>
      </w:tr>
    </w:tbl>
    <w:p>
      <w:pPr>
        <w:pStyle w:val="Heading1"/>
      </w:pPr>
      <w:r>
        <w:t>Version Management</w:t>
      </w:r>
    </w:p>
    <w:p>
      <w:r>
        <w:t>Every approved revision shall receive a unique version number, publication date, revision summary, approval record, and archived history. Superseded editions remain preserved for production traceability and franchise continuity.</w:t>
      </w:r>
    </w:p>
    <w:p>
      <w:pPr>
        <w:pStyle w:val="Heading1"/>
      </w:pPr>
      <w:r>
        <w:t>Compliance Checklist</w:t>
      </w:r>
    </w:p>
    <w:p>
      <w:pPr>
        <w:pStyle w:val="ListBullet"/>
      </w:pPr>
      <w:r>
        <w:t>Silhouette, proportions, feathers, sash, badge, and quill match the approved model.</w:t>
      </w:r>
    </w:p>
    <w:p>
      <w:pPr>
        <w:pStyle w:val="ListBullet"/>
      </w:pPr>
      <w:r>
        <w:t>Colors and materials follow the canonical production palette.</w:t>
      </w:r>
    </w:p>
    <w:p>
      <w:pPr>
        <w:pStyle w:val="ListBullet"/>
      </w:pPr>
      <w:r>
        <w:t>Dialogue and storytelling remain consistent with INK's historian role.</w:t>
      </w:r>
    </w:p>
    <w:p>
      <w:pPr>
        <w:pStyle w:val="ListBullet"/>
      </w:pPr>
      <w:r>
        <w:t>Educational values, authenticity, and preservation themes are maintained.</w:t>
      </w:r>
    </w:p>
    <w:p>
      <w:pPr>
        <w:pStyle w:val="ListBullet"/>
      </w:pPr>
      <w:r>
        <w:t>Licensed products comply with the latest approved Character Master Specification.</w:t>
      </w:r>
    </w:p>
    <w:p>
      <w:pPr>
        <w:pStyle w:val="Heading1"/>
      </w:pPr>
      <w:r>
        <w:t>Final Canon Declaration</w:t>
      </w:r>
    </w:p>
    <w:p>
      <w:r>
        <w:t>The INK Character Master Specification is the definitive production reference for the character. Animation studios, publishers, game developers, manufacturers, licensors, marketing teams, and all official partners shall use this document as the authoritative source for every sanctioned portrayal of INK.</w:t>
      </w:r>
    </w:p>
    <w:p>
      <w:pPr>
        <w:pStyle w:val="Heading1"/>
      </w:pPr>
      <w:r>
        <w:t>Next Character</w:t>
      </w:r>
    </w:p>
    <w:p>
      <w:r>
        <w:t>The next Character Master Specification begins with Sterling, the Collectiverse appraiser and value expert, following the same ten-part production structure established for Atlas, Pixel, and 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