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Pixel Character Master Specification</w:t>
        <w:br/>
      </w:r>
      <w:r>
        <w:t>Part 07: Equipment, Technology, Abilities &amp; Operational Standards</w:t>
      </w:r>
    </w:p>
    <w:p>
      <w:pPr>
        <w:pStyle w:val="Heading1"/>
      </w:pPr>
      <w:r>
        <w:t>Purpose</w:t>
      </w:r>
    </w:p>
    <w:p>
      <w:r>
        <w:t>This section defines Pixel's approved equipment, investigative technology, abilities, operational procedures, and limitations. These standards govern every official appearance across animation, games, publishing, merchandise, and licensed experiences.</w:t>
      </w:r>
    </w:p>
    <w:p>
      <w:pPr>
        <w:pStyle w:val="Heading1"/>
      </w:pPr>
      <w:r>
        <w:t>Primary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Primary Function</w:t>
            </w:r>
          </w:p>
        </w:tc>
        <w:tc>
          <w:tcPr>
            <w:tcW w:type="dxa" w:w="2880"/>
          </w:tcPr>
          <w:p>
            <w:r>
              <w:t>Canonical Standard</w:t>
            </w:r>
          </w:p>
        </w:tc>
      </w:tr>
      <w:tr>
        <w:tc>
          <w:tcPr>
            <w:tcW w:type="dxa" w:w="2880"/>
          </w:tcPr>
          <w:p>
            <w:r>
              <w:t>Scanner Gauntlet</w:t>
            </w:r>
          </w:p>
        </w:tc>
        <w:tc>
          <w:tcPr>
            <w:tcW w:type="dxa" w:w="2880"/>
          </w:tcPr>
          <w:p>
            <w:r>
              <w:t>Collect and analyze evidence</w:t>
            </w:r>
          </w:p>
        </w:tc>
        <w:tc>
          <w:tcPr>
            <w:tcW w:type="dxa" w:w="2880"/>
          </w:tcPr>
          <w:p>
            <w:r>
              <w:t>Always mounted on the left forearm with holographic display.</w:t>
            </w:r>
          </w:p>
        </w:tc>
      </w:tr>
      <w:tr>
        <w:tc>
          <w:tcPr>
            <w:tcW w:type="dxa" w:w="2880"/>
          </w:tcPr>
          <w:p>
            <w:r>
              <w:t>Forehead Goggles</w:t>
            </w:r>
          </w:p>
        </w:tc>
        <w:tc>
          <w:tcPr>
            <w:tcW w:type="dxa" w:w="2880"/>
          </w:tcPr>
          <w:p>
            <w:r>
              <w:t>Enhanced visual inspection</w:t>
            </w:r>
          </w:p>
        </w:tc>
        <w:tc>
          <w:tcPr>
            <w:tcW w:type="dxa" w:w="2880"/>
          </w:tcPr>
          <w:p>
            <w:r>
              <w:t>Remain on forehead except during active scanning sequences.</w:t>
            </w:r>
          </w:p>
        </w:tc>
      </w:tr>
      <w:tr>
        <w:tc>
          <w:tcPr>
            <w:tcW w:type="dxa" w:w="2880"/>
          </w:tcPr>
          <w:p>
            <w:r>
              <w:t>Optical Sensors</w:t>
            </w:r>
          </w:p>
        </w:tc>
        <w:tc>
          <w:tcPr>
            <w:tcW w:type="dxa" w:w="2880"/>
          </w:tcPr>
          <w:p>
            <w:r>
              <w:t>Detect fine visual details</w:t>
            </w:r>
          </w:p>
        </w:tc>
        <w:tc>
          <w:tcPr>
            <w:tcW w:type="dxa" w:w="2880"/>
          </w:tcPr>
          <w:p>
            <w:r>
              <w:t>Support observation but never replace reasoning.</w:t>
            </w:r>
          </w:p>
        </w:tc>
      </w:tr>
      <w:tr>
        <w:tc>
          <w:tcPr>
            <w:tcW w:type="dxa" w:w="2880"/>
          </w:tcPr>
          <w:p>
            <w:r>
              <w:t>Communications Link</w:t>
            </w:r>
          </w:p>
        </w:tc>
        <w:tc>
          <w:tcPr>
            <w:tcW w:type="dxa" w:w="2880"/>
          </w:tcPr>
          <w:p>
            <w:r>
              <w:t>Coordinate with the Keepers</w:t>
            </w:r>
          </w:p>
        </w:tc>
        <w:tc>
          <w:tcPr>
            <w:tcW w:type="dxa" w:w="2880"/>
          </w:tcPr>
          <w:p>
            <w:r>
              <w:t>Secure real-time communications during missions.</w:t>
            </w:r>
          </w:p>
        </w:tc>
      </w:tr>
      <w:tr>
        <w:tc>
          <w:tcPr>
            <w:tcW w:type="dxa" w:w="2880"/>
          </w:tcPr>
          <w:p>
            <w:r>
              <w:t>Knowledge Interface</w:t>
            </w:r>
          </w:p>
        </w:tc>
        <w:tc>
          <w:tcPr>
            <w:tcW w:type="dxa" w:w="2880"/>
          </w:tcPr>
          <w:p>
            <w:r>
              <w:t>Reference authenticated data</w:t>
            </w:r>
          </w:p>
        </w:tc>
        <w:tc>
          <w:tcPr>
            <w:tcW w:type="dxa" w:w="2880"/>
          </w:tcPr>
          <w:p>
            <w:r>
              <w:t>Provides information without making final judgments.</w:t>
            </w:r>
          </w:p>
        </w:tc>
      </w:tr>
      <w:tr>
        <w:tc>
          <w:tcPr>
            <w:tcW w:type="dxa" w:w="2880"/>
          </w:tcPr>
          <w:p>
            <w:r>
              <w:t>Collectiverse Badge</w:t>
            </w:r>
          </w:p>
        </w:tc>
        <w:tc>
          <w:tcPr>
            <w:tcW w:type="dxa" w:w="2880"/>
          </w:tcPr>
          <w:p>
            <w:r>
              <w:t>Team identification</w:t>
            </w:r>
          </w:p>
        </w:tc>
        <w:tc>
          <w:tcPr>
            <w:tcW w:type="dxa" w:w="2880"/>
          </w:tcPr>
          <w:p>
            <w:r>
              <w:t>Blue hexagonal badge with gold 'C'; always visible.</w:t>
            </w:r>
          </w:p>
        </w:tc>
      </w:tr>
    </w:tbl>
    <w:p>
      <w:pPr>
        <w:pStyle w:val="Heading1"/>
      </w:pPr>
      <w:r>
        <w:t>Core Abilities</w:t>
      </w:r>
    </w:p>
    <w:p>
      <w:pPr>
        <w:pStyle w:val="ListBullet"/>
      </w:pPr>
      <w:r>
        <w:t>Exceptional observation and pattern recognition.</w:t>
      </w:r>
    </w:p>
    <w:p>
      <w:pPr>
        <w:pStyle w:val="ListBullet"/>
      </w:pPr>
      <w:r>
        <w:t>Rapid evidence collection and scene analysis.</w:t>
      </w:r>
    </w:p>
    <w:p>
      <w:pPr>
        <w:pStyle w:val="ListBullet"/>
      </w:pPr>
      <w:r>
        <w:t>Safe handling of delicate collectibles.</w:t>
      </w:r>
    </w:p>
    <w:p>
      <w:pPr>
        <w:pStyle w:val="ListBullet"/>
      </w:pPr>
      <w:r>
        <w:t>Digital and physical investigative workflows.</w:t>
      </w:r>
    </w:p>
    <w:p>
      <w:pPr>
        <w:pStyle w:val="ListBullet"/>
      </w:pPr>
      <w:r>
        <w:t>Clear communication of findings to teammates.</w:t>
      </w:r>
    </w:p>
    <w:p>
      <w:pPr>
        <w:pStyle w:val="Heading1"/>
      </w:pPr>
      <w:r>
        <w:t>Operational Protocol</w:t>
      </w:r>
    </w:p>
    <w:p>
      <w:r>
        <w:t>Pixel follows a repeatable investigative workflow: observe, document, scan, compare against trusted references, consult the appropriate Keeper, verify findings, then communicate conclusions with supporting evidence.</w:t>
      </w:r>
    </w:p>
    <w:p>
      <w:pPr>
        <w:pStyle w:val="Heading1"/>
      </w:pPr>
      <w:r>
        <w:t>Operational Limitations</w:t>
      </w:r>
    </w:p>
    <w:p>
      <w:pPr>
        <w:pStyle w:val="ListBullet"/>
      </w:pPr>
      <w:r>
        <w:t>Scanner output is advisory and requires interpretation.</w:t>
      </w:r>
    </w:p>
    <w:p>
      <w:pPr>
        <w:pStyle w:val="ListBullet"/>
      </w:pPr>
      <w:r>
        <w:t>Technology cannot determine authenticity without supporting evidence.</w:t>
      </w:r>
    </w:p>
    <w:p>
      <w:pPr>
        <w:pStyle w:val="ListBullet"/>
      </w:pPr>
      <w:r>
        <w:t>Pixel relies on teammates for specialized expertise outside investigations.</w:t>
      </w:r>
    </w:p>
    <w:p>
      <w:pPr>
        <w:pStyle w:val="ListBullet"/>
      </w:pPr>
      <w:r>
        <w:t>Evidence must never be altered to fit a conclusion.</w:t>
      </w:r>
    </w:p>
    <w:p>
      <w:pPr>
        <w:pStyle w:val="Heading1"/>
      </w:pPr>
      <w:r>
        <w:t>Technology Design Principles</w:t>
      </w:r>
    </w:p>
    <w:p>
      <w:pPr>
        <w:pStyle w:val="ListBullet"/>
      </w:pPr>
      <w:r>
        <w:t>Technology appears advanced yet approachable.</w:t>
      </w:r>
    </w:p>
    <w:p>
      <w:pPr>
        <w:pStyle w:val="ListBullet"/>
      </w:pPr>
      <w:r>
        <w:t>Interfaces remain clean and readable.</w:t>
      </w:r>
    </w:p>
    <w:p>
      <w:pPr>
        <w:pStyle w:val="ListBullet"/>
      </w:pPr>
      <w:r>
        <w:t>Visual effects support storytelling without overwhelming scenes.</w:t>
      </w:r>
    </w:p>
    <w:p>
      <w:pPr>
        <w:pStyle w:val="ListBullet"/>
      </w:pPr>
      <w:r>
        <w:t>Equipment reinforces Pixel's identity as an investigator.</w:t>
      </w:r>
    </w:p>
    <w:p>
      <w:pPr>
        <w:pStyle w:val="Heading1"/>
      </w:pPr>
      <w:r>
        <w:t>Canon Lock</w:t>
      </w:r>
    </w:p>
    <w:p>
      <w:r>
        <w:t>Pixel's equipment, investigative workflow, abilities, and operational limitations are canonical. Future enhancements may expand capabilities but must preserve her role as an evidence-driven investigator whose technology supports—rather than replaces—critical thinking.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