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08: Licensing, Merchandise, Manufacturing &amp; Brand Protection Standards</w:t>
      </w:r>
    </w:p>
    <w:p>
      <w:pPr>
        <w:pStyle w:val="Heading1"/>
      </w:pPr>
      <w:r>
        <w:t>Purpose</w:t>
      </w:r>
    </w:p>
    <w:p>
      <w:r>
        <w:t>This section establishes the standards governing every licensed representation of Pixel. It ensures consistency across toys, statues, plush, books, apparel, games, promotional artwork, and all other commercial products featuring the character.</w:t>
      </w:r>
    </w:p>
    <w:p>
      <w:pPr>
        <w:pStyle w:val="Heading1"/>
      </w:pPr>
      <w:r>
        <w:t>Approved Product Categories</w:t>
      </w:r>
    </w:p>
    <w:p>
      <w:pPr>
        <w:pStyle w:val="ListBullet"/>
      </w:pPr>
      <w:r>
        <w:t>Action figures and articulated collectibles</w:t>
      </w:r>
    </w:p>
    <w:p>
      <w:pPr>
        <w:pStyle w:val="ListBullet"/>
      </w:pPr>
      <w:r>
        <w:t>Premium statues and resin collectibles</w:t>
      </w:r>
    </w:p>
    <w:p>
      <w:pPr>
        <w:pStyle w:val="ListBullet"/>
      </w:pPr>
      <w:r>
        <w:t>Plush toys</w:t>
      </w:r>
    </w:p>
    <w:p>
      <w:pPr>
        <w:pStyle w:val="ListBullet"/>
      </w:pPr>
      <w:r>
        <w:t>Blind-box mini figures</w:t>
      </w:r>
    </w:p>
    <w:p>
      <w:pPr>
        <w:pStyle w:val="ListBullet"/>
      </w:pPr>
      <w:r>
        <w:t>Trading cards and promotional cards</w:t>
      </w:r>
    </w:p>
    <w:p>
      <w:pPr>
        <w:pStyle w:val="ListBullet"/>
      </w:pPr>
      <w:r>
        <w:t>Books, comics, and educational publications</w:t>
      </w:r>
    </w:p>
    <w:p>
      <w:pPr>
        <w:pStyle w:val="ListBullet"/>
      </w:pPr>
      <w:r>
        <w:t>Video games, mobile apps, and interactive experiences</w:t>
      </w:r>
    </w:p>
    <w:p>
      <w:pPr>
        <w:pStyle w:val="ListBullet"/>
      </w:pPr>
      <w:r>
        <w:t>Apparel, accessories, and stationery</w:t>
      </w:r>
    </w:p>
    <w:p>
      <w:pPr>
        <w:pStyle w:val="ListBullet"/>
      </w:pPr>
      <w:r>
        <w:t>Digital avatars, stickers, and emojis</w:t>
      </w:r>
    </w:p>
    <w:p>
      <w:pPr>
        <w:pStyle w:val="ListBullet"/>
      </w:pPr>
      <w:r>
        <w:t>Theme park, exhibit, and live experience merchandise</w:t>
      </w:r>
    </w:p>
    <w:p>
      <w:pPr>
        <w:pStyle w:val="Heading1"/>
      </w:pPr>
      <w:r>
        <w:t>Visual Brand Standards</w:t>
      </w:r>
    </w:p>
    <w:p>
      <w:pPr>
        <w:pStyle w:val="ListBullet"/>
      </w:pPr>
      <w:r>
        <w:t>Pixel's oversized ears, fluffy tail, goggles, and scanner gauntlet are mandatory identifying features.</w:t>
      </w:r>
    </w:p>
    <w:p>
      <w:pPr>
        <w:pStyle w:val="ListBullet"/>
      </w:pPr>
      <w:r>
        <w:t>The left-arm scanner gauntlet may not be omitted or relocated.</w:t>
      </w:r>
    </w:p>
    <w:p>
      <w:pPr>
        <w:pStyle w:val="ListBullet"/>
      </w:pPr>
      <w:r>
        <w:t>Forehead-mounted goggles should remain visible except in approved story-specific situations.</w:t>
      </w:r>
    </w:p>
    <w:p>
      <w:pPr>
        <w:pStyle w:val="ListBullet"/>
      </w:pPr>
      <w:r>
        <w:t>The blue hexagonal Collectiverse badge with gold 'C' must remain visible.</w:t>
      </w:r>
    </w:p>
    <w:p>
      <w:pPr>
        <w:pStyle w:val="ListBullet"/>
      </w:pPr>
      <w:r>
        <w:t>The white-and-cyan color palette must follow the approved production specification.</w:t>
      </w:r>
    </w:p>
    <w:p>
      <w:pPr>
        <w:pStyle w:val="Heading1"/>
      </w:pPr>
      <w:r>
        <w:t>Manufacturing Standards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Production Requirement</w:t>
            </w:r>
          </w:p>
        </w:tc>
      </w:tr>
      <w:tr>
        <w:tc>
          <w:tcPr>
            <w:tcW w:type="dxa" w:w="4320"/>
          </w:tcPr>
          <w:p>
            <w:r>
              <w:t>Sculpt</w:t>
            </w:r>
          </w:p>
        </w:tc>
        <w:tc>
          <w:tcPr>
            <w:tcW w:type="dxa" w:w="4320"/>
          </w:tcPr>
          <w:p>
            <w:r>
              <w:t>Preserve canonical chibi proportions, ears, tail, and facial geometry.</w:t>
            </w:r>
          </w:p>
        </w:tc>
      </w:tr>
      <w:tr>
        <w:tc>
          <w:tcPr>
            <w:tcW w:type="dxa" w:w="4320"/>
          </w:tcPr>
          <w:p>
            <w:r>
              <w:t>Paint</w:t>
            </w:r>
          </w:p>
        </w:tc>
        <w:tc>
          <w:tcPr>
            <w:tcW w:type="dxa" w:w="4320"/>
          </w:tcPr>
          <w:p>
            <w:r>
              <w:t>Match approved cyan accents and fur coloration.</w:t>
            </w:r>
          </w:p>
        </w:tc>
      </w:tr>
      <w:tr>
        <w:tc>
          <w:tcPr>
            <w:tcW w:type="dxa" w:w="4320"/>
          </w:tcPr>
          <w:p>
            <w:r>
              <w:t>Materials</w:t>
            </w:r>
          </w:p>
        </w:tc>
        <w:tc>
          <w:tcPr>
            <w:tcW w:type="dxa" w:w="4320"/>
          </w:tcPr>
          <w:p>
            <w:r>
              <w:t>Use premium finishes appropriate to product category.</w:t>
            </w:r>
          </w:p>
        </w:tc>
      </w:tr>
      <w:tr>
        <w:tc>
          <w:tcPr>
            <w:tcW w:type="dxa" w:w="4320"/>
          </w:tcPr>
          <w:p>
            <w:r>
              <w:t>Quality Control</w:t>
            </w:r>
          </w:p>
        </w:tc>
        <w:tc>
          <w:tcPr>
            <w:tcW w:type="dxa" w:w="4320"/>
          </w:tcPr>
          <w:p>
            <w:r>
              <w:t>Verify goggles, scanner gauntlet, badge, and proportions.</w:t>
            </w:r>
          </w:p>
        </w:tc>
      </w:tr>
      <w:tr>
        <w:tc>
          <w:tcPr>
            <w:tcW w:type="dxa" w:w="4320"/>
          </w:tcPr>
          <w:p>
            <w:r>
              <w:t>Packaging</w:t>
            </w:r>
          </w:p>
        </w:tc>
        <w:tc>
          <w:tcPr>
            <w:tcW w:type="dxa" w:w="4320"/>
          </w:tcPr>
          <w:p>
            <w:r>
              <w:t>Use official Collectiverse branding and legal notices.</w:t>
            </w:r>
          </w:p>
        </w:tc>
      </w:tr>
      <w:tr>
        <w:tc>
          <w:tcPr>
            <w:tcW w:type="dxa" w:w="4320"/>
          </w:tcPr>
          <w:p>
            <w:r>
              <w:t>Documentation</w:t>
            </w:r>
          </w:p>
        </w:tc>
        <w:tc>
          <w:tcPr>
            <w:tcW w:type="dxa" w:w="4320"/>
          </w:tcPr>
          <w:p>
            <w:r>
              <w:t>Maintain revision-controlled approval records for licensed products.</w:t>
            </w:r>
          </w:p>
        </w:tc>
      </w:tr>
    </w:tbl>
    <w:p>
      <w:pPr>
        <w:pStyle w:val="Heading1"/>
      </w:pPr>
      <w:r>
        <w:t>Brand Protection Rules</w:t>
      </w:r>
    </w:p>
    <w:p>
      <w:pPr>
        <w:pStyle w:val="ListBullet"/>
      </w:pPr>
      <w:r>
        <w:t>Pixel must never be depicted falsifying evidence or supporting counterfeit collectibles.</w:t>
      </w:r>
    </w:p>
    <w:p>
      <w:pPr>
        <w:pStyle w:val="ListBullet"/>
      </w:pPr>
      <w:r>
        <w:t>Humorous portrayals must preserve her intelligence and integrity.</w:t>
      </w:r>
    </w:p>
    <w:p>
      <w:pPr>
        <w:pStyle w:val="ListBullet"/>
      </w:pPr>
      <w:r>
        <w:t>Licensees may not redesign Pixel's core silhouette without written approval.</w:t>
      </w:r>
    </w:p>
    <w:p>
      <w:pPr>
        <w:pStyle w:val="ListBullet"/>
      </w:pPr>
      <w:r>
        <w:t>Derivative works must clearly distinguish official canon from non-canon interpretations.</w:t>
      </w:r>
    </w:p>
    <w:p>
      <w:pPr>
        <w:pStyle w:val="ListBullet"/>
      </w:pPr>
      <w:r>
        <w:t>Official products must comply with the current Character Master Specification.</w:t>
      </w:r>
    </w:p>
    <w:p>
      <w:pPr>
        <w:pStyle w:val="Heading1"/>
      </w:pPr>
      <w:r>
        <w:t>Licensing Approval Workflow</w:t>
      </w:r>
    </w:p>
    <w:p>
      <w:r>
        <w:t>All licensed Pixel products should proceed through concept review, visual approval, prototype evaluation, manufacturing review, quality assurance, and final franchise compliance approval before release.</w:t>
      </w:r>
    </w:p>
    <w:p>
      <w:pPr>
        <w:pStyle w:val="Heading1"/>
      </w:pPr>
      <w:r>
        <w:t>Canon Lock</w:t>
      </w:r>
    </w:p>
    <w:p>
      <w:r>
        <w:t>These standards govern every official commercial use of Pixel. Any material change to her visual identity, personality, narrative role, or signature investigative equipment requires formal approval from Collectiverse Studio franchise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