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Pixel Character Master Specification</w:t>
        <w:br/>
      </w:r>
      <w:r>
        <w:t>Part 10: Canon Compliance, Revision Control &amp; Final Character Lock</w:t>
      </w:r>
    </w:p>
    <w:p>
      <w:pPr>
        <w:pStyle w:val="Heading1"/>
      </w:pPr>
      <w:r>
        <w:t>Purpose</w:t>
      </w:r>
    </w:p>
    <w:p>
      <w:r>
        <w:t>This concluding section establishes the governance framework for Pixel as an official Collectiverse intellectual property. It defines approval workflows, revision management, compliance requirements, and the final canonical lock governing all future portrayals.</w:t>
      </w:r>
    </w:p>
    <w:p>
      <w:pPr>
        <w:pStyle w:val="Heading1"/>
      </w:pPr>
      <w:r>
        <w:t>Canon Compliance Requirements</w:t>
      </w:r>
    </w:p>
    <w:p>
      <w:pPr>
        <w:pStyle w:val="ListBullet"/>
      </w:pPr>
      <w:r>
        <w:t>Every official Pixel asset must be validated against the current Character Master Specification.</w:t>
      </w:r>
    </w:p>
    <w:p>
      <w:pPr>
        <w:pStyle w:val="ListBullet"/>
      </w:pPr>
      <w:r>
        <w:t>Visual, behavioral, narrative, and technical standards are equally mandatory.</w:t>
      </w:r>
    </w:p>
    <w:p>
      <w:pPr>
        <w:pStyle w:val="ListBullet"/>
      </w:pPr>
      <w:r>
        <w:t>Temporary promotional variants may not alter Pixel's core identity.</w:t>
      </w:r>
    </w:p>
    <w:p>
      <w:pPr>
        <w:pStyle w:val="ListBullet"/>
      </w:pPr>
      <w:r>
        <w:t>Any non-canon interpretation must be clearly identified as non-canon.</w:t>
      </w:r>
    </w:p>
    <w:p>
      <w:pPr>
        <w:pStyle w:val="Heading1"/>
      </w:pPr>
      <w:r>
        <w:t>Revision Control</w:t>
      </w:r>
    </w:p>
    <w:tbl>
      <w:tblPr>
        <w:tblStyle w:val="TableGrid"/>
        <w:tblW w:type="auto" w:w="0"/>
        <w:tblLook w:firstColumn="1" w:firstRow="1" w:lastColumn="0" w:lastRow="0" w:noHBand="0" w:noVBand="1" w:val="04A0"/>
      </w:tblPr>
      <w:tblGrid>
        <w:gridCol w:w="4320"/>
        <w:gridCol w:w="4320"/>
      </w:tblGrid>
      <w:tr>
        <w:tc>
          <w:tcPr>
            <w:tcW w:type="dxa" w:w="4320"/>
          </w:tcPr>
          <w:p>
            <w:r>
              <w:t>Revision Type</w:t>
            </w:r>
          </w:p>
        </w:tc>
        <w:tc>
          <w:tcPr>
            <w:tcW w:type="dxa" w:w="4320"/>
          </w:tcPr>
          <w:p>
            <w:r>
              <w:t>Required Approval</w:t>
            </w:r>
          </w:p>
        </w:tc>
      </w:tr>
      <w:tr>
        <w:tc>
          <w:tcPr>
            <w:tcW w:type="dxa" w:w="4320"/>
          </w:tcPr>
          <w:p>
            <w:r>
              <w:t>Editorial correction</w:t>
            </w:r>
          </w:p>
        </w:tc>
        <w:tc>
          <w:tcPr>
            <w:tcW w:type="dxa" w:w="4320"/>
          </w:tcPr>
          <w:p>
            <w:r>
              <w:t>Documentation Lead</w:t>
            </w:r>
          </w:p>
        </w:tc>
      </w:tr>
      <w:tr>
        <w:tc>
          <w:tcPr>
            <w:tcW w:type="dxa" w:w="4320"/>
          </w:tcPr>
          <w:p>
            <w:r>
              <w:t>Minor clarification</w:t>
            </w:r>
          </w:p>
        </w:tc>
        <w:tc>
          <w:tcPr>
            <w:tcW w:type="dxa" w:w="4320"/>
          </w:tcPr>
          <w:p>
            <w:r>
              <w:t>Creative Director</w:t>
            </w:r>
          </w:p>
        </w:tc>
      </w:tr>
      <w:tr>
        <w:tc>
          <w:tcPr>
            <w:tcW w:type="dxa" w:w="4320"/>
          </w:tcPr>
          <w:p>
            <w:r>
              <w:t>Visual refinement</w:t>
            </w:r>
          </w:p>
        </w:tc>
        <w:tc>
          <w:tcPr>
            <w:tcW w:type="dxa" w:w="4320"/>
          </w:tcPr>
          <w:p>
            <w:r>
              <w:t>Art Director + Franchise Review</w:t>
            </w:r>
          </w:p>
        </w:tc>
      </w:tr>
      <w:tr>
        <w:tc>
          <w:tcPr>
            <w:tcW w:type="dxa" w:w="4320"/>
          </w:tcPr>
          <w:p>
            <w:r>
              <w:t>Narrative change</w:t>
            </w:r>
          </w:p>
        </w:tc>
        <w:tc>
          <w:tcPr>
            <w:tcW w:type="dxa" w:w="4320"/>
          </w:tcPr>
          <w:p>
            <w:r>
              <w:t>Story Group + Franchise Review</w:t>
            </w:r>
          </w:p>
        </w:tc>
      </w:tr>
      <w:tr>
        <w:tc>
          <w:tcPr>
            <w:tcW w:type="dxa" w:w="4320"/>
          </w:tcPr>
          <w:p>
            <w:r>
              <w:t>Core character change</w:t>
            </w:r>
          </w:p>
        </w:tc>
        <w:tc>
          <w:tcPr>
            <w:tcW w:type="dxa" w:w="4320"/>
          </w:tcPr>
          <w:p>
            <w:r>
              <w:t>Executive Franchise Approval and new CMS version</w:t>
            </w:r>
          </w:p>
        </w:tc>
      </w:tr>
    </w:tbl>
    <w:p>
      <w:pPr>
        <w:pStyle w:val="Heading1"/>
      </w:pPr>
      <w:r>
        <w:t>Version Management</w:t>
      </w:r>
    </w:p>
    <w:p>
      <w:r>
        <w:t>Each approved revision receives a unique version number, publication date, revision summary, approval record, and archived history. Previous editions remain preserved for production traceability and historical reference.</w:t>
      </w:r>
    </w:p>
    <w:p>
      <w:pPr>
        <w:pStyle w:val="Heading1"/>
      </w:pPr>
      <w:r>
        <w:t>Compliance Checklist</w:t>
      </w:r>
    </w:p>
    <w:p>
      <w:pPr>
        <w:pStyle w:val="ListBullet"/>
      </w:pPr>
      <w:r>
        <w:t>Silhouette matches the approved production model.</w:t>
      </w:r>
    </w:p>
    <w:p>
      <w:pPr>
        <w:pStyle w:val="ListBullet"/>
      </w:pPr>
      <w:r>
        <w:t>Goggles, scanner gauntlet, badge, ears, and tail are correctly represented.</w:t>
      </w:r>
    </w:p>
    <w:p>
      <w:pPr>
        <w:pStyle w:val="ListBullet"/>
      </w:pPr>
      <w:r>
        <w:t>Colors and materials match canonical specifications.</w:t>
      </w:r>
    </w:p>
    <w:p>
      <w:pPr>
        <w:pStyle w:val="ListBullet"/>
      </w:pPr>
      <w:r>
        <w:t>Dialogue, personality, and investigative behavior remain on model.</w:t>
      </w:r>
    </w:p>
    <w:p>
      <w:pPr>
        <w:pStyle w:val="ListBullet"/>
      </w:pPr>
      <w:r>
        <w:t>Licensed products comply with the latest approved CMS.</w:t>
      </w:r>
    </w:p>
    <w:p>
      <w:pPr>
        <w:pStyle w:val="Heading1"/>
      </w:pPr>
      <w:r>
        <w:t>Final Canon Declaration</w:t>
      </w:r>
    </w:p>
    <w:p>
      <w:r>
        <w:t>The Pixel Character Master Specification is the definitive production reference for Pixel. Animation studios, game developers, publishers, manufacturers, marketing teams, licensors, and all external partners shall use this document as the authoritative source for every official portrayal of the character.</w:t>
      </w:r>
    </w:p>
    <w:p>
      <w:pPr>
        <w:pStyle w:val="Heading1"/>
      </w:pPr>
      <w:r>
        <w:t>Next Character</w:t>
      </w:r>
    </w:p>
    <w:p>
      <w:r>
        <w:t>The next Character Master Specification begins with Ink, the Collectiverse historian and storyteller, following the same ten-part production structure established for Atlas and Pixel.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