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01: Executive Profile &amp; Canon Identity</w:t>
      </w:r>
    </w:p>
    <w:p>
      <w:pPr>
        <w:pStyle w:val="Heading1"/>
      </w:pPr>
      <w:r>
        <w:t>Purpose</w:t>
      </w:r>
    </w:p>
    <w:p>
      <w:r>
        <w:t>This document begins the official Character Master Specification (CMS) for STERLING, Collectiverse's appraiser and value expert. It establishes the canonical identity that governs every official depiction across animation, publishing, games, merchandise, and licensed media.</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Specification</w:t>
            </w:r>
          </w:p>
        </w:tc>
      </w:tr>
      <w:tr>
        <w:tc>
          <w:tcPr>
            <w:tcW w:type="dxa" w:w="4320"/>
          </w:tcPr>
          <w:p>
            <w:r>
              <w:t>Official Name</w:t>
            </w:r>
          </w:p>
        </w:tc>
        <w:tc>
          <w:tcPr>
            <w:tcW w:type="dxa" w:w="4320"/>
          </w:tcPr>
          <w:p>
            <w:r>
              <w:t>STERLING</w:t>
            </w:r>
          </w:p>
        </w:tc>
      </w:tr>
      <w:tr>
        <w:tc>
          <w:tcPr>
            <w:tcW w:type="dxa" w:w="4320"/>
          </w:tcPr>
          <w:p>
            <w:r>
              <w:t>Franchise Role</w:t>
            </w:r>
          </w:p>
        </w:tc>
        <w:tc>
          <w:tcPr>
            <w:tcW w:type="dxa" w:w="4320"/>
          </w:tcPr>
          <w:p>
            <w:r>
              <w:t>Appraiser and value expert</w:t>
            </w:r>
          </w:p>
        </w:tc>
      </w:tr>
      <w:tr>
        <w:tc>
          <w:tcPr>
            <w:tcW w:type="dxa" w:w="4320"/>
          </w:tcPr>
          <w:p>
            <w:r>
              <w:t>Alignment</w:t>
            </w:r>
          </w:p>
        </w:tc>
        <w:tc>
          <w:tcPr>
            <w:tcW w:type="dxa" w:w="4320"/>
          </w:tcPr>
          <w:p>
            <w:r>
              <w:t>Hero</w:t>
            </w:r>
          </w:p>
        </w:tc>
      </w:tr>
      <w:tr>
        <w:tc>
          <w:tcPr>
            <w:tcW w:type="dxa" w:w="4320"/>
          </w:tcPr>
          <w:p>
            <w:r>
              <w:t>Species</w:t>
            </w:r>
          </w:p>
        </w:tc>
        <w:tc>
          <w:tcPr>
            <w:tcW w:type="dxa" w:w="4320"/>
          </w:tcPr>
          <w:p>
            <w:r>
              <w:t>Chibi British Shorthair Cat</w:t>
            </w:r>
          </w:p>
        </w:tc>
      </w:tr>
      <w:tr>
        <w:tc>
          <w:tcPr>
            <w:tcW w:type="dxa" w:w="4320"/>
          </w:tcPr>
          <w:p>
            <w:r>
              <w:t>Team</w:t>
            </w:r>
          </w:p>
        </w:tc>
        <w:tc>
          <w:tcPr>
            <w:tcW w:type="dxa" w:w="4320"/>
          </w:tcPr>
          <w:p>
            <w:r>
              <w:t>The Keepers</w:t>
            </w:r>
          </w:p>
        </w:tc>
      </w:tr>
      <w:tr>
        <w:tc>
          <w:tcPr>
            <w:tcW w:type="dxa" w:w="4320"/>
          </w:tcPr>
          <w:p>
            <w:r>
              <w:t>Relative Scale</w:t>
            </w:r>
          </w:p>
        </w:tc>
        <w:tc>
          <w:tcPr>
            <w:tcW w:type="dxa" w:w="4320"/>
          </w:tcPr>
          <w:p>
            <w:r>
              <w:t>60% of Atlas's height (smallest Keeper)</w:t>
            </w:r>
          </w:p>
        </w:tc>
      </w:tr>
      <w:tr>
        <w:tc>
          <w:tcPr>
            <w:tcW w:type="dxa" w:w="4320"/>
          </w:tcPr>
          <w:p>
            <w:r>
              <w:t>Primary Responsibility</w:t>
            </w:r>
          </w:p>
        </w:tc>
        <w:tc>
          <w:tcPr>
            <w:tcW w:type="dxa" w:w="4320"/>
          </w:tcPr>
          <w:p>
            <w:r>
              <w:t>Authenticate, evaluate, and explain collectible value</w:t>
            </w:r>
          </w:p>
        </w:tc>
      </w:tr>
      <w:tr>
        <w:tc>
          <w:tcPr>
            <w:tcW w:type="dxa" w:w="4320"/>
          </w:tcPr>
          <w:p>
            <w:r>
              <w:t>Core Tagline</w:t>
            </w:r>
          </w:p>
        </w:tc>
        <w:tc>
          <w:tcPr>
            <w:tcW w:type="dxa" w:w="4320"/>
          </w:tcPr>
          <w:p>
            <w:r>
              <w:t>True value begins with authenticity.</w:t>
            </w:r>
          </w:p>
        </w:tc>
      </w:tr>
      <w:tr>
        <w:tc>
          <w:tcPr>
            <w:tcW w:type="dxa" w:w="4320"/>
          </w:tcPr>
          <w:p>
            <w:r>
              <w:t>Audience Role</w:t>
            </w:r>
          </w:p>
        </w:tc>
        <w:tc>
          <w:tcPr>
            <w:tcW w:type="dxa" w:w="4320"/>
          </w:tcPr>
          <w:p>
            <w:r>
              <w:t>Represents expertise, discernment, and responsible collecting</w:t>
            </w:r>
          </w:p>
        </w:tc>
      </w:tr>
    </w:tbl>
    <w:p>
      <w:pPr>
        <w:pStyle w:val="Heading1"/>
      </w:pPr>
      <w:r>
        <w:t>Character Purpose</w:t>
      </w:r>
    </w:p>
    <w:p>
      <w:r>
        <w:t>STERLING teaches collectors that the highest value comes from authenticity, condition, rarity, provenance, and informed decision-making—not hype. His expertise helps the Keepers separate genuine treasures from costly mistakes.</w:t>
      </w:r>
    </w:p>
    <w:p>
      <w:pPr>
        <w:pStyle w:val="Heading1"/>
      </w:pPr>
      <w:r>
        <w:t>Core Brand Responsibilities</w:t>
      </w:r>
    </w:p>
    <w:p>
      <w:pPr>
        <w:pStyle w:val="ListBullet"/>
      </w:pPr>
      <w:r>
        <w:t>Promote ethical collecting and authentication.</w:t>
      </w:r>
    </w:p>
    <w:p>
      <w:pPr>
        <w:pStyle w:val="ListBullet"/>
      </w:pPr>
      <w:r>
        <w:t>Teach appraisal fundamentals in an accessible way.</w:t>
      </w:r>
    </w:p>
    <w:p>
      <w:pPr>
        <w:pStyle w:val="ListBullet"/>
      </w:pPr>
      <w:r>
        <w:t>Encourage informed purchasing decisions.</w:t>
      </w:r>
    </w:p>
    <w:p>
      <w:pPr>
        <w:pStyle w:val="ListBullet"/>
      </w:pPr>
      <w:r>
        <w:t>Support the team with valuation expertise.</w:t>
      </w:r>
    </w:p>
    <w:p>
      <w:pPr>
        <w:pStyle w:val="ListBullet"/>
      </w:pPr>
      <w:r>
        <w:t>Demonstrate that knowledge is more valuable than speculation.</w:t>
      </w:r>
    </w:p>
    <w:p>
      <w:pPr>
        <w:pStyle w:val="Heading1"/>
      </w:pPr>
      <w:r>
        <w:t>Canon Identity</w:t>
      </w:r>
    </w:p>
    <w:p>
      <w:pPr>
        <w:pStyle w:val="ListBullet"/>
      </w:pPr>
      <w:r>
        <w:t>STERLING is refined, confident, and impeccably professional.</w:t>
      </w:r>
    </w:p>
    <w:p>
      <w:pPr>
        <w:pStyle w:val="ListBullet"/>
      </w:pPr>
      <w:r>
        <w:t>He enjoys fine craftsmanship but is never greedy.</w:t>
      </w:r>
    </w:p>
    <w:p>
      <w:pPr>
        <w:pStyle w:val="ListBullet"/>
      </w:pPr>
      <w:r>
        <w:t>His confidence comes from expertise rather than arrogance.</w:t>
      </w:r>
    </w:p>
    <w:p>
      <w:pPr>
        <w:pStyle w:val="ListBullet"/>
      </w:pPr>
      <w:r>
        <w:t>He appreciates quality, provenance, and historical significance.</w:t>
      </w:r>
    </w:p>
    <w:p>
      <w:pPr>
        <w:pStyle w:val="ListBullet"/>
      </w:pPr>
      <w:r>
        <w:t>He always treats collectors with respect regardless of budget.</w:t>
      </w:r>
    </w:p>
    <w:p>
      <w:pPr>
        <w:pStyle w:val="Heading1"/>
      </w:pPr>
      <w:r>
        <w:t>Production Notes</w:t>
      </w:r>
    </w:p>
    <w:p>
      <w:r>
        <w:t>Subsequent sections define STERLING's visual construction, luxury styling, personality, equipment, relationships, performance standards, licensing guidance, and governance using the standardized ten-part Character Master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