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COUNTERFEITER Character Master Specification</w:t>
        <w:br/>
      </w:r>
      <w:r>
        <w:t>Part 08: Licensing, Merchandise, Manufacturing &amp; Brand Protection Standards</w:t>
      </w:r>
    </w:p>
    <w:p>
      <w:pPr>
        <w:pStyle w:val="Heading1"/>
      </w:pPr>
      <w:r>
        <w:t>Purpose</w:t>
      </w:r>
    </w:p>
    <w:p>
      <w:r>
        <w:t>This document establishes the canonical standards governing THE COUNTERFEITER's licensed products, manufacturing specifications, brand consistency, intellectual property protection, and quality assurance requirements across all official Collectiverse media and merchandise.</w:t>
      </w:r>
    </w:p>
    <w:p>
      <w:pPr>
        <w:pStyle w:val="Heading1"/>
      </w:pPr>
      <w:r>
        <w:t>Licensing Standards</w:t>
      </w:r>
    </w:p>
    <w:p>
      <w:pPr>
        <w:pStyle w:val="ListBullet"/>
      </w:pPr>
      <w:r>
        <w:t>All licensed depictions must conform to the approved Character Master Specification.</w:t>
      </w:r>
    </w:p>
    <w:p>
      <w:pPr>
        <w:pStyle w:val="ListBullet"/>
      </w:pPr>
      <w:r>
        <w:t>The four-arm anatomy, prehensile tail, and artist's beret are protected design elements.</w:t>
      </w:r>
    </w:p>
    <w:p>
      <w:pPr>
        <w:pStyle w:val="ListBullet"/>
      </w:pPr>
      <w:r>
        <w:t>Official colors, tools, insignia, and proportions may not be altered without written approval.</w:t>
      </w:r>
    </w:p>
    <w:p>
      <w:pPr>
        <w:pStyle w:val="ListBullet"/>
      </w:pPr>
      <w:r>
        <w:t>THE COUNTERFEITER must consistently represent precision, artistry, and calculated deception.</w:t>
      </w:r>
    </w:p>
    <w:p>
      <w:pPr>
        <w:pStyle w:val="Heading1"/>
      </w:pPr>
      <w:r>
        <w:t>Merchandise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Category</w:t>
            </w:r>
          </w:p>
        </w:tc>
        <w:tc>
          <w:tcPr>
            <w:tcW w:type="dxa" w:w="4320"/>
          </w:tcPr>
          <w:p>
            <w:r>
              <w:t>Production Standard</w:t>
            </w:r>
          </w:p>
        </w:tc>
      </w:tr>
      <w:tr>
        <w:tc>
          <w:tcPr>
            <w:tcW w:type="dxa" w:w="4320"/>
          </w:tcPr>
          <w:p>
            <w:r>
              <w:t>Collectible Figures</w:t>
            </w:r>
          </w:p>
        </w:tc>
        <w:tc>
          <w:tcPr>
            <w:tcW w:type="dxa" w:w="4320"/>
          </w:tcPr>
          <w:p>
            <w:r>
              <w:t>Preserve four-arm anatomy, curled tail, beret, and official forgery tools.</w:t>
            </w:r>
          </w:p>
        </w:tc>
      </w:tr>
      <w:tr>
        <w:tc>
          <w:tcPr>
            <w:tcW w:type="dxa" w:w="4320"/>
          </w:tcPr>
          <w:p>
            <w:r>
              <w:t>Premium Statues</w:t>
            </w:r>
          </w:p>
        </w:tc>
        <w:tc>
          <w:tcPr>
            <w:tcW w:type="dxa" w:w="4320"/>
          </w:tcPr>
          <w:p>
            <w:r>
              <w:t>Maintain elegant posture, bronze scale finish, and refined craftsmanship.</w:t>
            </w:r>
          </w:p>
        </w:tc>
      </w:tr>
      <w:tr>
        <w:tc>
          <w:tcPr>
            <w:tcW w:type="dxa" w:w="4320"/>
          </w:tcPr>
          <w:p>
            <w:r>
              <w:t>Apparel</w:t>
            </w:r>
          </w:p>
        </w:tc>
        <w:tc>
          <w:tcPr>
            <w:tcW w:type="dxa" w:w="4320"/>
          </w:tcPr>
          <w:p>
            <w:r>
              <w:t>Use only approved artwork, insignia, and Collectiverse branding.</w:t>
            </w:r>
          </w:p>
        </w:tc>
      </w:tr>
      <w:tr>
        <w:tc>
          <w:tcPr>
            <w:tcW w:type="dxa" w:w="4320"/>
          </w:tcPr>
          <w:p>
            <w:r>
              <w:t>Games &amp; Digital Media</w:t>
            </w:r>
          </w:p>
        </w:tc>
        <w:tc>
          <w:tcPr>
            <w:tcW w:type="dxa" w:w="4320"/>
          </w:tcPr>
          <w:p>
            <w:r>
              <w:t>Models and animations must match approved production references.</w:t>
            </w:r>
          </w:p>
        </w:tc>
      </w:tr>
      <w:tr>
        <w:tc>
          <w:tcPr>
            <w:tcW w:type="dxa" w:w="4320"/>
          </w:tcPr>
          <w:p>
            <w:r>
              <w:t>Publishing</w:t>
            </w:r>
          </w:p>
        </w:tc>
        <w:tc>
          <w:tcPr>
            <w:tcW w:type="dxa" w:w="4320"/>
          </w:tcPr>
          <w:p>
            <w:r>
              <w:t>Illustrations must preserve canonical anatomy, colors, and visual identity.</w:t>
            </w:r>
          </w:p>
        </w:tc>
      </w:tr>
    </w:tbl>
    <w:p>
      <w:pPr>
        <w:pStyle w:val="Heading1"/>
      </w:pPr>
      <w:r>
        <w:t>Manufacturing Requirements</w:t>
      </w:r>
    </w:p>
    <w:p>
      <w:pPr>
        <w:pStyle w:val="ListBullet"/>
      </w:pPr>
      <w:r>
        <w:t>Maintain consistent bronze-gold coloration and subtle iridescence.</w:t>
      </w:r>
    </w:p>
    <w:p>
      <w:pPr>
        <w:pStyle w:val="ListBullet"/>
      </w:pPr>
      <w:r>
        <w:t>Accurately reproduce prismatic eyes and scale texture.</w:t>
      </w:r>
    </w:p>
    <w:p>
      <w:pPr>
        <w:pStyle w:val="ListBullet"/>
      </w:pPr>
      <w:r>
        <w:t>Ensure forgery tools remain recognizable at all production scales.</w:t>
      </w:r>
    </w:p>
    <w:p>
      <w:pPr>
        <w:pStyle w:val="ListBullet"/>
      </w:pPr>
      <w:r>
        <w:t>Preserve official badge placement and costume proportions.</w:t>
      </w:r>
    </w:p>
    <w:p>
      <w:pPr>
        <w:pStyle w:val="Heading1"/>
      </w:pPr>
      <w:r>
        <w:t>Brand Protection</w:t>
      </w:r>
    </w:p>
    <w:p>
      <w:pPr>
        <w:pStyle w:val="ListBullet"/>
      </w:pPr>
      <w:r>
        <w:t>Do not depict THE COUNTERFEITER as clumsy or incompetent.</w:t>
      </w:r>
    </w:p>
    <w:p>
      <w:pPr>
        <w:pStyle w:val="ListBullet"/>
      </w:pPr>
      <w:r>
        <w:t>Do not remove or simplify the four-arm silhouette.</w:t>
      </w:r>
    </w:p>
    <w:p>
      <w:pPr>
        <w:pStyle w:val="ListBullet"/>
      </w:pPr>
      <w:r>
        <w:t>Do not replace the official cracked empty hex badge.</w:t>
      </w:r>
    </w:p>
    <w:p>
      <w:pPr>
        <w:pStyle w:val="ListBullet"/>
      </w:pPr>
      <w:r>
        <w:t>Protect the character's identity as the Syndicate's master forger.</w:t>
      </w:r>
    </w:p>
    <w:p>
      <w:pPr>
        <w:pStyle w:val="Heading1"/>
      </w:pPr>
      <w:r>
        <w:t>Quality Assurance Checklist</w:t>
      </w:r>
    </w:p>
    <w:p>
      <w:pPr>
        <w:pStyle w:val="ListBullet"/>
      </w:pPr>
      <w:r>
        <w:t>Model matches approved production references.</w:t>
      </w:r>
    </w:p>
    <w:p>
      <w:pPr>
        <w:pStyle w:val="ListBullet"/>
      </w:pPr>
      <w:r>
        <w:t>Colors and materials are accurate.</w:t>
      </w:r>
    </w:p>
    <w:p>
      <w:pPr>
        <w:pStyle w:val="ListBullet"/>
      </w:pPr>
      <w:r>
        <w:t>Four-arm anatomy and tail are correctly represented.</w:t>
      </w:r>
    </w:p>
    <w:p>
      <w:pPr>
        <w:pStyle w:val="ListBullet"/>
      </w:pPr>
      <w:r>
        <w:t>Personality reflects artistic precision and deceptive confidence.</w:t>
      </w:r>
    </w:p>
    <w:p>
      <w:pPr>
        <w:pStyle w:val="ListBullet"/>
      </w:pPr>
      <w:r>
        <w:t>Branding complies with Collectiverse standards.</w:t>
      </w:r>
    </w:p>
    <w:p>
      <w:pPr>
        <w:pStyle w:val="Heading1"/>
      </w:pPr>
      <w:r>
        <w:t>Canon Lock</w:t>
      </w:r>
    </w:p>
    <w:p>
      <w:r>
        <w:t>These licensing, merchandising, manufacturing, and brand protection standards are canonical and mandatory for every official portrayal and licensed product featuring THE COUNTERFEITER.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