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THE DIRECTOR Character Master Specification</w:t>
        <w:br/>
      </w:r>
      <w:r>
        <w:t>Part 10: Canon Compliance, Revision Control &amp; Final Character Lock</w:t>
      </w:r>
    </w:p>
    <w:p>
      <w:pPr>
        <w:pStyle w:val="Heading1"/>
      </w:pPr>
      <w:r>
        <w:t>Purpose</w:t>
      </w:r>
    </w:p>
    <w:p>
      <w:r>
        <w:t>This document formally establishes the definitive canonical version of THE DIRECTOR. It defines governance, compliance, revision procedures, production approval requirements, and the standards that preserve the character across every official Collectiverse product.</w:t>
      </w:r>
    </w:p>
    <w:p>
      <w:pPr>
        <w:pStyle w:val="Heading1"/>
      </w:pPr>
      <w:r>
        <w:t>Canonical Compliance</w:t>
      </w:r>
    </w:p>
    <w:p>
      <w:pPr>
        <w:pStyle w:val="ListBullet"/>
      </w:pPr>
      <w:r>
        <w:t>All official artwork, animation, games, publishing, merchandise, marketing, and licensed media must conform to the approved Character Master Specification.</w:t>
      </w:r>
    </w:p>
    <w:p>
      <w:pPr>
        <w:pStyle w:val="ListBullet"/>
      </w:pPr>
      <w:r>
        <w:t>THE DIRECTOR's appearance, personality, motivations, and strategic role may not be altered without formal canon approval.</w:t>
      </w:r>
    </w:p>
    <w:p>
      <w:pPr>
        <w:pStyle w:val="ListBullet"/>
      </w:pPr>
      <w:r>
        <w:t>Future stories may expand the character but must never contradict established canon.</w:t>
      </w:r>
    </w:p>
    <w:p>
      <w:pPr>
        <w:pStyle w:val="ListBullet"/>
      </w:pPr>
      <w:r>
        <w:t>The opaque mirror-black visor, elongated silhouette, and architectural armor are protected defining features.</w:t>
      </w:r>
    </w:p>
    <w:p>
      <w:pPr>
        <w:pStyle w:val="Heading1"/>
      </w:pPr>
      <w:r>
        <w:t>Revision Control</w:t>
      </w:r>
    </w:p>
    <w:tbl>
      <w:tblPr>
        <w:tblStyle w:val="TableGrid"/>
        <w:tblW w:type="auto" w:w="0"/>
        <w:tblLook w:firstColumn="1" w:firstRow="1" w:lastColumn="0" w:lastRow="0" w:noHBand="0" w:noVBand="1" w:val="04A0"/>
      </w:tblPr>
      <w:tblGrid>
        <w:gridCol w:w="4320"/>
        <w:gridCol w:w="4320"/>
      </w:tblGrid>
      <w:tr>
        <w:tc>
          <w:tcPr>
            <w:tcW w:type="dxa" w:w="4320"/>
          </w:tcPr>
          <w:p>
            <w:r>
              <w:t>Revision Type</w:t>
            </w:r>
          </w:p>
        </w:tc>
        <w:tc>
          <w:tcPr>
            <w:tcW w:type="dxa" w:w="4320"/>
          </w:tcPr>
          <w:p>
            <w:r>
              <w:t>Required Approval</w:t>
            </w:r>
          </w:p>
        </w:tc>
      </w:tr>
      <w:tr>
        <w:tc>
          <w:tcPr>
            <w:tcW w:type="dxa" w:w="4320"/>
          </w:tcPr>
          <w:p>
            <w:r>
              <w:t>Editorial corrections</w:t>
            </w:r>
          </w:p>
        </w:tc>
        <w:tc>
          <w:tcPr>
            <w:tcW w:type="dxa" w:w="4320"/>
          </w:tcPr>
          <w:p>
            <w:r>
              <w:t>Documentation owner approval</w:t>
            </w:r>
          </w:p>
        </w:tc>
      </w:tr>
      <w:tr>
        <w:tc>
          <w:tcPr>
            <w:tcW w:type="dxa" w:w="4320"/>
          </w:tcPr>
          <w:p>
            <w:r>
              <w:t>Visual refinements</w:t>
            </w:r>
          </w:p>
        </w:tc>
        <w:tc>
          <w:tcPr>
            <w:tcW w:type="dxa" w:w="4320"/>
          </w:tcPr>
          <w:p>
            <w:r>
              <w:t>Creative Director approval</w:t>
            </w:r>
          </w:p>
        </w:tc>
      </w:tr>
      <w:tr>
        <w:tc>
          <w:tcPr>
            <w:tcW w:type="dxa" w:w="4320"/>
          </w:tcPr>
          <w:p>
            <w:r>
              <w:t>Narrative additions</w:t>
            </w:r>
          </w:p>
        </w:tc>
        <w:tc>
          <w:tcPr>
            <w:tcW w:type="dxa" w:w="4320"/>
          </w:tcPr>
          <w:p>
            <w:r>
              <w:t>Story Group review</w:t>
            </w:r>
          </w:p>
        </w:tc>
      </w:tr>
      <w:tr>
        <w:tc>
          <w:tcPr>
            <w:tcW w:type="dxa" w:w="4320"/>
          </w:tcPr>
          <w:p>
            <w:r>
              <w:t>Core character modifications</w:t>
            </w:r>
          </w:p>
        </w:tc>
        <w:tc>
          <w:tcPr>
            <w:tcW w:type="dxa" w:w="4320"/>
          </w:tcPr>
          <w:p>
            <w:r>
              <w:t>Executive Canon Board approval</w:t>
            </w:r>
          </w:p>
        </w:tc>
      </w:tr>
      <w:tr>
        <w:tc>
          <w:tcPr>
            <w:tcW w:type="dxa" w:w="4320"/>
          </w:tcPr>
          <w:p>
            <w:r>
              <w:t>Licensing exceptions</w:t>
            </w:r>
          </w:p>
        </w:tc>
        <w:tc>
          <w:tcPr>
            <w:tcW w:type="dxa" w:w="4320"/>
          </w:tcPr>
          <w:p>
            <w:r>
              <w:t>Collectiverse Studios executive authorization</w:t>
            </w:r>
          </w:p>
        </w:tc>
      </w:tr>
    </w:tbl>
    <w:p>
      <w:pPr>
        <w:pStyle w:val="Heading1"/>
      </w:pPr>
      <w:r>
        <w:t>Production Readiness Checklist</w:t>
      </w:r>
    </w:p>
    <w:p>
      <w:pPr>
        <w:pStyle w:val="ListBullet"/>
      </w:pPr>
      <w:r>
        <w:t>Approved model sheet and locked proportions are used.</w:t>
      </w:r>
    </w:p>
    <w:p>
      <w:pPr>
        <w:pStyle w:val="ListBullet"/>
      </w:pPr>
      <w:r>
        <w:t>Armor geometry, visor, insignia, and color palette match canonical references.</w:t>
      </w:r>
    </w:p>
    <w:p>
      <w:pPr>
        <w:pStyle w:val="ListBullet"/>
      </w:pPr>
      <w:r>
        <w:t>Voice, dialogue, and behavior reflect calm strategic authority.</w:t>
      </w:r>
    </w:p>
    <w:p>
      <w:pPr>
        <w:pStyle w:val="ListBullet"/>
      </w:pPr>
      <w:r>
        <w:t>Performance reinforces the ideological conflict with Atlas and the Keepers.</w:t>
      </w:r>
    </w:p>
    <w:p>
      <w:pPr>
        <w:pStyle w:val="ListBullet"/>
      </w:pPr>
      <w:r>
        <w:t>Branding complies with all Collectiverse standards.</w:t>
      </w:r>
    </w:p>
    <w:p>
      <w:pPr>
        <w:pStyle w:val="Heading1"/>
      </w:pPr>
      <w:r>
        <w:t>Final Canon Declaration</w:t>
      </w:r>
    </w:p>
    <w:p>
      <w:r>
        <w:t>THE DIRECTOR is the definitive mastermind of The Syndicate and the principal antagonist of the Collectiverse franchise. He embodies centralized control, calculated intelligence, discipline, and strategic leadership, standing as the philosophical opposite of Atlas and the Keepers' commitment to community, authenticity, and shared stewardship.</w:t>
      </w:r>
    </w:p>
    <w:p>
      <w:pPr>
        <w:pStyle w:val="Heading1"/>
      </w:pPr>
      <w:r>
        <w:t>Character Lock</w:t>
      </w:r>
    </w:p>
    <w:p>
      <w:r>
        <w:t>With publication of this document, THE DIRECTOR Character Master Specification (Parts 01–10) is designated the definitive production reference for all current and future Collectiverse projects. Any deviation requires formal approval through the established canon governance process.</w:t>
      </w:r>
    </w:p>
    <w:p>
      <w:pPr>
        <w:pStyle w:val="Heading1"/>
      </w:pPr>
      <w:r>
        <w:t>Transition</w:t>
      </w:r>
    </w:p>
    <w:p>
      <w:r>
        <w:t>THE DIRECTOR Character Master Specification is complete. The next Character Master Specification in Volume 02 should begin with THE COUNTERFEITER, following the established ten-part production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