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3.png"/>
  <Override ContentType="image/png" PartName="/word/media/document_image_rId14.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body>
    <!-- Modified by docx4j 6.1.2 (Apache licensed) using REFERENCE JAXB in Tencent Java 1.8.0_262 on Linux -->
    <w:p>
      <w:pPr>
        <w:pStyle w:val="t1"/>
        <w:spacing w:line="360" w:lineRule="auto"/>
        <w:ind/>
        <w:jc w:val="left"/>
        <w:rPr>
          <w:rFonts w:ascii="宋体" w:hAnsi="宋体" w:eastAsia="宋体"/>
          <w:b w:val="true"/>
          <w:bCs w:val="true"/>
          <w:sz w:val="48"/>
          <w:szCs w:val="48"/>
        </w:rPr>
      </w:pPr>
      <w:r>
        <w:rPr>
          <w:rFonts w:ascii="宋体" w:hAnsi="宋体" w:eastAsia="宋体"/>
          <w:b w:val="true"/>
          <w:bCs w:val="true"/>
          <w:sz w:val="48"/>
          <w:szCs w:val="48"/>
        </w:rPr>
        <w:t>曙光FM</w:t>
      </w:r>
    </w:p>
    <w:p>
      <w:pPr>
        <w:pStyle w:val="heading1"/>
        <w:numPr>
          <w:ilvl w:val="0"/>
          <w:numId w:val="34"/>
        </w:numPr>
        <w:spacing w:line="360" w:lineRule="auto"/>
        <w:ind w:leftChars="160" w:hangingChars="160"/>
        <w:jc w:val="left"/>
        <w:rPr>
          <w:rFonts w:ascii="宋体" w:hAnsi="宋体" w:eastAsia="宋体"/>
          <w:b w:val="true"/>
          <w:bCs w:val="true"/>
          <w:color w:val="1A1A1A"/>
          <w:sz w:val="36"/>
          <w:szCs w:val="36"/>
        </w:rPr>
      </w:pPr>
      <w:r>
        <w:rPr>
          <w:rFonts w:hint="eastAsia"/>
        </w:rPr>
      </w:r>
      <w:r>
        <w:rPr>
          <w:rFonts w:ascii="宋体" w:hAnsi="宋体" w:eastAsia="宋体"/>
          <w:b w:val="true"/>
          <w:bCs w:val="true"/>
          <w:color w:val="1A1A1A"/>
          <w:sz w:val="36"/>
          <w:szCs w:val="36"/>
        </w:rPr>
        <w:t>概述</w:t>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1.1背景</w:t>
      </w:r>
    </w:p>
    <w:p>
      <w:pPr>
        <w:spacing w:before="0" w:after="270" w:line="360" w:lineRule="auto"/>
        <w:ind w:firstLineChars="200"/>
        <w:jc w:val="left"/>
        <w:rPr>
          <w:rFonts w:ascii="宋体" w:hAnsi="宋体" w:eastAsia="宋体"/>
          <w:b w:val="true"/>
          <w:bCs w:val="true"/>
          <w:color w:val="C00000"/>
          <w:sz w:val="22"/>
          <w:szCs w:val="22"/>
          <w:shd w:val="clear" w:fill="FFFFFF"/>
        </w:rPr>
      </w:pPr>
      <w:r>
        <w:rPr>
          <w:rFonts w:ascii="宋体" w:hAnsi="宋体" w:eastAsia="宋体"/>
          <w:color w:val="000000"/>
          <w:sz w:val="22"/>
          <w:szCs w:val="22"/>
          <w:shd w:val="clear" w:fill="FFFFFF"/>
        </w:rPr>
        <w:t>随着中国经济的结构性转化升级，越来越多的消费者步入了中产阶级，需求也由物质层面转移到了精神层面，对于优质内容付费的认可度和意愿也在不断提升，大批的连接用户与内容生产者的知识付费平台涌现出来，其中喜马拉雅、得到、在行一点、知乎、蜻蜓FM等占据了当前市场的大部分份额，</w:t>
      </w:r>
      <w:r>
        <w:rPr>
          <w:rFonts w:ascii="宋体" w:hAnsi="宋体" w:eastAsia="宋体"/>
          <w:b w:val="true"/>
          <w:bCs w:val="true"/>
          <w:color w:val="C00000"/>
          <w:sz w:val="22"/>
          <w:szCs w:val="22"/>
          <w:shd w:val="clear" w:fill="FFFFFF"/>
        </w:rPr>
        <w:t>知识付费行业正处在高速发展的阶段，内容创造者的价值在不断放大。</w:t>
      </w:r>
    </w:p>
    <w:p>
      <w:pPr>
        <w:spacing w:before="360" w:after="0" w:line="360" w:lineRule="auto"/>
        <w:ind w:left="0" w:firstLineChars="300"/>
        <w:jc w:val="both"/>
        <w:rPr>
          <w:rFonts w:ascii="宋体" w:hAnsi="宋体" w:eastAsia="宋体"/>
          <w:b w:val="true"/>
          <w:bCs w:val="true"/>
          <w:color w:val="C00000"/>
          <w:sz w:val="22"/>
          <w:szCs w:val="22"/>
        </w:rPr>
      </w:pPr>
      <w:r>
        <w:rPr>
          <w:rFonts w:ascii="宋体" w:hAnsi="宋体" w:eastAsia="宋体"/>
          <w:b w:val="true"/>
          <w:bCs w:val="true"/>
          <w:color w:val="C00000"/>
          <w:sz w:val="22"/>
          <w:szCs w:val="22"/>
        </w:rPr>
        <w:t xml:space="preserve">      </w:t>
      </w:r>
      <w:r>
        <w:rPr>
          <w:rFonts w:ascii="宋体" w:hAnsi="宋体" w:eastAsia="宋体"/>
          <w:b w:val="true"/>
          <w:bCs w:val="true"/>
          <w:color w:val="C00000"/>
          <w:sz w:val="22"/>
          <w:szCs w:val="22"/>
        </w:rPr>
        <w:t>按内容划分，目前电台类产品包括纯PGC（专业生产内容）和PGC+UGC（用户生成内容）两大阵营，像考拉FM、豆瓣FM、懒人听书属于第一阵营；喜马拉雅、荔枝FM属于第二阵营。</w:t>
      </w:r>
      <w:r>
        <w:rPr>
          <w:rFonts w:ascii="宋体" w:hAnsi="宋体" w:eastAsia="宋体"/>
          <w:color w:val="000000"/>
          <w:sz w:val="22"/>
          <w:szCs w:val="22"/>
        </w:rPr>
        <w:t>另外，</w:t>
      </w:r>
      <w:r>
        <w:rPr>
          <w:rFonts w:ascii="宋体" w:hAnsi="宋体" w:eastAsia="宋体"/>
          <w:b w:val="true"/>
          <w:bCs w:val="true"/>
          <w:color w:val="C00000"/>
          <w:sz w:val="22"/>
          <w:szCs w:val="22"/>
        </w:rPr>
        <w:t>车联网的兴起，也给移动电台新的机会。</w:t>
      </w:r>
      <w:r>
        <w:rPr>
          <w:rFonts w:ascii="宋体" w:hAnsi="宋体" w:eastAsia="宋体"/>
          <w:color w:val="000000"/>
          <w:sz w:val="22"/>
          <w:szCs w:val="22"/>
        </w:rPr>
        <w:t>目前国内城市道路拥挤状况的加剧，路上花费的时间不断拉长，车载场景又具有良好的收听环境，音乐、电台应用将作为丰富的内容支撑，发展前景非常可观，</w:t>
      </w:r>
      <w:r>
        <w:rPr>
          <w:rFonts w:ascii="宋体" w:hAnsi="宋体" w:eastAsia="宋体"/>
          <w:b w:val="true"/>
          <w:bCs w:val="true"/>
          <w:color w:val="C00000"/>
          <w:sz w:val="22"/>
          <w:szCs w:val="22"/>
        </w:rPr>
        <w:t>因此，以考拉FM、喜马拉雅FM、多听FM、蜻蜓FM等为代表的电台应用都在主打用户车内场景收听，除了与多家汽车品牌商达成前装合作外，也在通过推出智能硬件进入车载市场，加大移动电台对车内场景的布局。</w:t>
      </w:r>
    </w:p>
    <w:p>
      <w:pPr>
        <w:spacing w:before="60" w:after="60" w:line="360" w:lineRule="auto"/>
        <w:ind/>
        <w:jc w:val="left"/>
        <w:rPr>
          <w:rFonts w:ascii="宋体" w:hAnsi="宋体" w:eastAsia="宋体"/>
          <w:color w:val="000000"/>
          <w:sz w:val="22"/>
          <w:szCs w:val="22"/>
        </w:rPr>
      </w:pPr>
      <w:r>
        <w:rPr>
          <w:rFonts w:ascii="宋体" w:hAnsi="宋体" w:eastAsia="宋体"/>
          <w:color w:val="000000"/>
          <w:sz w:val="22"/>
          <w:szCs w:val="22"/>
        </w:rPr>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1.2目的</w:t>
      </w:r>
    </w:p>
    <w:p>
      <w:pPr>
        <w:spacing w:before="60" w:after="60" w:line="360" w:lineRule="auto"/>
        <w:ind w:firstLineChars="200"/>
        <w:jc w:val="both"/>
        <w:rPr>
          <w:rFonts w:ascii="宋体" w:hAnsi="宋体" w:eastAsia="宋体"/>
          <w:b w:val="true"/>
          <w:bCs w:val="true"/>
          <w:color w:val="cc0000"/>
          <w:sz w:val="24"/>
          <w:szCs w:val="24"/>
          <w:shd w:val="clear" w:fill="FFFFFF"/>
        </w:rPr>
      </w:pPr>
      <w:r>
        <w:rPr>
          <w:rFonts w:ascii="宋体" w:hAnsi="宋体" w:eastAsia="宋体"/>
          <w:b w:val="true"/>
          <w:bCs w:val="true"/>
          <w:color w:val="cc0000"/>
          <w:sz w:val="24"/>
          <w:szCs w:val="24"/>
          <w:shd w:val="clear" w:fill="FFFFFF"/>
        </w:rPr>
        <w:t>曙光FM，slogan为“戴上耳机，寻找属于你的光”，针对80、90、00后女性群体，打造将国内市场的热门大IP与声优结合制成有声漫画和广播剧的移动音频平台。</w:t>
      </w:r>
    </w:p>
    <w:p>
      <w:pPr>
        <w:pStyle w:val="heading1"/>
        <w:numPr>
          <w:ilvl w:val="0"/>
          <w:numId w:val="34"/>
        </w:numPr>
        <w:spacing w:line="360" w:lineRule="auto"/>
        <w:ind w:leftChars="160" w:hangingChars="160"/>
        <w:jc w:val="left"/>
        <w:rPr>
          <w:rFonts w:ascii="宋体" w:hAnsi="宋体" w:eastAsia="宋体"/>
          <w:b w:val="true"/>
          <w:bCs w:val="true"/>
          <w:color w:val="1A1A1A"/>
          <w:sz w:val="36"/>
          <w:szCs w:val="36"/>
        </w:rPr>
      </w:pPr>
      <w:r>
        <w:rPr>
          <w:rFonts w:hint="eastAsia"/>
        </w:rPr>
      </w:r>
      <w:r>
        <w:rPr>
          <w:rFonts w:ascii="宋体" w:hAnsi="宋体" w:eastAsia="宋体"/>
          <w:b w:val="true"/>
          <w:bCs w:val="true"/>
          <w:color w:val="1A1A1A"/>
          <w:sz w:val="36"/>
          <w:szCs w:val="36"/>
        </w:rPr>
        <w:t xml:space="preserve">市场概述  </w:t>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2.1市场概况</w:t>
      </w:r>
    </w:p>
    <w:p>
      <w:pPr>
        <w:spacing w:before="0" w:after="270" w:line="360" w:lineRule="auto"/>
        <w:ind w:firstLineChars="200"/>
        <w:jc w:val="both"/>
        <w:rPr>
          <w:rFonts w:ascii="宋体" w:hAnsi="宋体" w:eastAsia="宋体"/>
          <w:color w:val="000000"/>
          <w:kern w:val="0"/>
          <w:sz w:val="27"/>
          <w:szCs w:val="27"/>
        </w:rPr>
      </w:pPr>
      <w:r>
        <w:rPr>
          <w:rFonts w:ascii="宋体" w:hAnsi="宋体" w:eastAsia="宋体"/>
          <w:color w:val="000000"/>
          <w:kern w:val="0"/>
          <w:sz w:val="27"/>
          <w:szCs w:val="27"/>
        </w:rPr>
        <w:t>PEST是从政治（Politics）、经济（Economic）、社会（Society）、技术（Technology）四个方面，基于公司战略的眼光来分析企业外部宏观环境的一种方法。PEST分析法能从各个方面比较好的把握宏观环境的现状及变化的趋势，因此，为更加深入了解产品分析，本文采用PEST分析方法。</w:t>
      </w:r>
    </w:p>
    <w:p>
      <w:pPr>
        <w:pStyle w:val="heading3"/>
        <w:spacing w:line="360" w:lineRule="auto"/>
        <w:ind/>
        <w:jc w:val="both"/>
        <w:rPr>
          <w:rFonts w:ascii="宋体" w:hAnsi="宋体" w:eastAsia="宋体"/>
          <w:b w:val="true"/>
          <w:bCs w:val="true"/>
          <w:sz w:val="32"/>
          <w:szCs w:val="32"/>
        </w:rPr>
      </w:pPr>
      <w:r>
        <w:rPr>
          <w:rFonts w:ascii="宋体" w:hAnsi="宋体" w:eastAsia="宋体"/>
          <w:b w:val="true"/>
          <w:bCs w:val="true"/>
          <w:sz w:val="32"/>
          <w:szCs w:val="32"/>
        </w:rPr>
        <w:t>2.1.1 政策环境分析</w:t>
      </w:r>
    </w:p>
    <w:p>
      <w:pPr>
        <w:spacing w:before="0" w:after="270" w:line="360" w:lineRule="auto"/>
        <w:ind w:firstLineChars="200"/>
        <w:jc w:val="both"/>
        <w:rPr>
          <w:rFonts w:ascii="宋体" w:hAnsi="宋体" w:eastAsia="宋体"/>
          <w:color w:val="000000"/>
          <w:kern w:val="0"/>
          <w:sz w:val="27"/>
          <w:szCs w:val="27"/>
        </w:rPr>
      </w:pPr>
      <w:r>
        <w:rPr>
          <w:rFonts w:ascii="宋体" w:hAnsi="宋体" w:eastAsia="宋体"/>
          <w:color w:val="000000"/>
          <w:kern w:val="0"/>
          <w:sz w:val="27"/>
          <w:szCs w:val="27"/>
        </w:rPr>
        <w:t>早在1990年，第七届人大常委会就通过了《中华人民共和国著作权法》，并进行多次修正，明确音频制品版权保护，再加上相关部门严厉打击网络侵权盗版行为，音频行业规范逐步落实。</w:t>
      </w:r>
    </w:p>
    <w:p>
      <w:pPr>
        <w:spacing w:before="0" w:after="270" w:line="360" w:lineRule="auto"/>
        <w:ind w:firstLineChars="200"/>
        <w:jc w:val="both"/>
        <w:rPr>
          <w:rFonts w:ascii="宋体" w:hAnsi="宋体" w:eastAsia="宋体"/>
          <w:color w:val="000000"/>
          <w:kern w:val="0"/>
          <w:sz w:val="27"/>
          <w:szCs w:val="27"/>
        </w:rPr>
      </w:pPr>
      <w:r>
        <w:rPr>
          <w:rFonts w:ascii="宋体" w:hAnsi="宋体" w:eastAsia="宋体"/>
          <w:color w:val="000000"/>
          <w:kern w:val="0"/>
          <w:sz w:val="27"/>
          <w:szCs w:val="27"/>
        </w:rPr>
        <w:t>但是，网络音频所依赖的UGC模式仍然较容易导致版权纠纷问题，一方面，不少用户为了利益将同一内容投到不同平台；另一方面，不少平台为了抢占市场，也默许了用户的这一行为，在内容审核上多有疏忽，例如荔枝FM、蜻蜓FM、喜马拉雅FM等知名音频播放平台，都曾因版权问题被竞争对手投诉，导致APP被苹果store下架。</w:t>
      </w:r>
    </w:p>
    <w:p>
      <w:pPr>
        <w:spacing w:before="0" w:after="270" w:line="360" w:lineRule="auto"/>
        <w:ind w:firstLineChars="200"/>
        <w:jc w:val="both"/>
        <w:rPr>
          <w:rFonts w:ascii="宋体" w:hAnsi="宋体" w:eastAsia="宋体"/>
          <w:color w:val="000000"/>
          <w:kern w:val="0"/>
          <w:sz w:val="27"/>
          <w:szCs w:val="27"/>
        </w:rPr>
      </w:pPr>
      <w:r>
        <w:rPr>
          <w:rFonts w:ascii="宋体" w:hAnsi="宋体" w:eastAsia="宋体"/>
          <w:color w:val="000000"/>
          <w:kern w:val="0"/>
          <w:sz w:val="27"/>
          <w:szCs w:val="27"/>
        </w:rPr>
        <w:t>2019年1月，国家发布《网路直播平台管理规范》、《网络直播主播管理规范》，涉及直播平台的主播监控、账号监管、平台巡查等多方面内容。</w:t>
      </w:r>
    </w:p>
    <w:p>
      <w:pPr>
        <w:spacing w:before="0" w:after="270" w:line="360" w:lineRule="auto"/>
        <w:ind w:firstLineChars="200"/>
        <w:jc w:val="both"/>
        <w:rPr>
          <w:rFonts w:ascii="宋体" w:hAnsi="宋体" w:eastAsia="宋体"/>
          <w:color w:val="000000"/>
          <w:kern w:val="0"/>
          <w:sz w:val="27"/>
          <w:szCs w:val="27"/>
        </w:rPr>
      </w:pPr>
      <w:r>
        <w:rPr>
          <w:rFonts w:ascii="宋体" w:hAnsi="宋体" w:eastAsia="宋体"/>
          <w:color w:val="000000"/>
          <w:kern w:val="0"/>
          <w:sz w:val="27"/>
          <w:szCs w:val="27"/>
        </w:rPr>
        <w:t>此外，为促进网络音视频信息服务健康有序发展，国家互联网信息办公室、文化和旅游部、国家广播电视总局制定了《网络音视频信息服务管理规定》，并于2020年1月1日开始施行，大力推进文化创意服务产业如音频、网络文学、出版间的融合发展。</w:t>
      </w:r>
    </w:p>
    <w:p>
      <w:pPr>
        <w:spacing w:before="0" w:after="270" w:line="360" w:lineRule="auto"/>
        <w:ind/>
        <w:jc w:val="left"/>
        <w:rPr>
          <w:rFonts w:ascii="宋体" w:hAnsi="宋体" w:eastAsia="宋体"/>
          <w:b w:val="true"/>
          <w:bCs w:val="true"/>
          <w:color w:val="C00000"/>
          <w:kern w:val="0"/>
          <w:sz w:val="27"/>
          <w:szCs w:val="27"/>
        </w:rPr>
      </w:pPr>
      <w:r>
        <w:rPr>
          <w:rFonts w:ascii="宋体" w:hAnsi="宋体" w:eastAsia="宋体"/>
          <w:b w:val="true"/>
          <w:bCs w:val="true"/>
          <w:color w:val="C00000"/>
          <w:kern w:val="0"/>
          <w:sz w:val="27"/>
          <w:szCs w:val="27"/>
        </w:rPr>
        <w:t>总体而言，政策收紧，网络音频行业版权环境趋好。</w:t>
      </w:r>
    </w:p>
    <w:p>
      <w:pPr>
        <w:pStyle w:val="heading3"/>
        <w:spacing w:line="360" w:lineRule="auto"/>
        <w:ind/>
        <w:jc w:val="both"/>
        <w:rPr>
          <w:rFonts w:ascii="宋体" w:hAnsi="宋体" w:eastAsia="宋体"/>
          <w:b w:val="true"/>
          <w:bCs w:val="true"/>
          <w:sz w:val="32"/>
          <w:szCs w:val="32"/>
        </w:rPr>
      </w:pPr>
      <w:r>
        <w:rPr>
          <w:rFonts w:ascii="宋体" w:hAnsi="宋体" w:eastAsia="宋体"/>
          <w:b w:val="true"/>
          <w:bCs w:val="true"/>
          <w:sz w:val="32"/>
          <w:szCs w:val="32"/>
        </w:rPr>
        <w:t>2.1.2 经济环境分析</w:t>
      </w:r>
    </w:p>
    <w:p>
      <w:pPr>
        <w:spacing w:before="0" w:after="270" w:line="360" w:lineRule="auto"/>
        <w:ind w:firstLineChars="200"/>
        <w:jc w:val="both"/>
        <w:rPr>
          <w:rFonts w:ascii="宋体" w:hAnsi="宋体" w:eastAsia="宋体"/>
          <w:color w:val="000000"/>
          <w:kern w:val="0"/>
          <w:sz w:val="27"/>
          <w:szCs w:val="27"/>
        </w:rPr>
      </w:pPr>
      <w:r>
        <w:rPr>
          <w:rFonts w:ascii="宋体" w:hAnsi="宋体" w:eastAsia="宋体"/>
          <w:color w:val="000000"/>
          <w:kern w:val="0"/>
          <w:sz w:val="27"/>
          <w:szCs w:val="27"/>
        </w:rPr>
        <w:t>随着国民收入增长和音频业务的不断发展，越来越多的精品内容和优质主播涌现，用户付费的意愿显著提升，助推移动互联网时代下音频行业内容变现模式的发展。而且，音频互动模式多样，将用户打赏的商业模式与音频行业很好地结合起来，拓展多元收入。此外，全场景生态的深化发展更是为整个网络音频行业带来更多想象空间，将推动网络音频行业市场规模进一步增长。</w:t>
      </w:r>
    </w:p>
    <w:p>
      <w:pPr>
        <w:spacing w:before="0" w:after="270" w:line="360" w:lineRule="auto"/>
        <w:ind w:firstLineChars="200"/>
        <w:jc w:val="both"/>
        <w:rPr>
          <w:rFonts w:ascii="宋体" w:hAnsi="宋体" w:eastAsia="宋体"/>
          <w:b w:val="true"/>
          <w:bCs w:val="true"/>
          <w:color w:val="C00000"/>
          <w:kern w:val="0"/>
          <w:sz w:val="27"/>
          <w:szCs w:val="27"/>
        </w:rPr>
      </w:pPr>
      <w:r>
        <w:rPr>
          <w:rFonts w:ascii="宋体" w:hAnsi="宋体" w:eastAsia="宋体"/>
          <w:b w:val="true"/>
          <w:bCs w:val="true"/>
          <w:color w:val="C00000"/>
          <w:kern w:val="0"/>
          <w:sz w:val="27"/>
          <w:szCs w:val="27"/>
        </w:rPr>
        <w:t>根据艾瑞咨询的统计数据显示：2019年，中国网络音频行业市场规模为175.8亿元，同比增长55.1%，预计在2020年至2022年网络音频行业市场规模增长速度会放缓，规模仍会上升。</w:t>
      </w:r>
    </w:p>
    <w:p>
      <w:pPr>
        <w:spacing w:before="0" w:after="270" w:line="360" w:lineRule="auto"/>
        <w:ind/>
        <w:jc w:val="left"/>
        <w:rPr>
          <w:rFonts w:ascii="宋体" w:hAnsi="宋体" w:eastAsia="宋体"/>
          <w:color w:val="000000"/>
          <w:sz w:val="27"/>
          <w:szCs w:val="27"/>
        </w:rPr>
      </w:pPr>
      <w:r>
        <w:rPr>
          <w:rFonts w:ascii="微软雅黑" w:hAnsi="微软雅黑" w:eastAsia="微软雅黑"/>
          <w:color w:val="000000"/>
          <w:sz w:val="21"/>
          <w:szCs w:val="21"/>
        </w:rPr>
        <w:drawing>
          <wp:inline distT="0" distB="0" distL="0" distR="0">
            <wp:extent cx="5267325" cy="3209925"/>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267325" cy="3209925"/>
                    </a:xfrm>
                    <a:prstGeom prst="rect">
                      <a:avLst/>
                    </a:prstGeom>
                  </pic:spPr>
                </pic:pic>
              </a:graphicData>
            </a:graphic>
          </wp:inline>
        </w:drawing>
      </w:r>
    </w:p>
    <w:p>
      <w:pPr>
        <w:spacing w:before="0" w:after="270" w:line="360" w:lineRule="auto"/>
        <w:ind/>
        <w:jc w:val="center"/>
        <w:rPr>
          <w:rFonts w:ascii="宋体" w:hAnsi="宋体" w:eastAsia="宋体"/>
          <w:color w:val="000000"/>
          <w:kern w:val="0"/>
          <w:sz w:val="27"/>
          <w:szCs w:val="27"/>
        </w:rPr>
      </w:pPr>
      <w:r>
        <w:rPr>
          <w:rFonts w:ascii="宋体" w:hAnsi="宋体" w:eastAsia="宋体"/>
          <w:color w:val="000000"/>
          <w:kern w:val="0"/>
          <w:sz w:val="27"/>
          <w:szCs w:val="27"/>
        </w:rPr>
        <w:t>数据来源：艾瑞咨询</w:t>
      </w:r>
    </w:p>
    <w:p>
      <w:pPr>
        <w:spacing w:before="0" w:after="270" w:line="360" w:lineRule="auto"/>
        <w:ind w:firstLineChars="200"/>
        <w:jc w:val="both"/>
        <w:rPr>
          <w:rFonts w:ascii="宋体" w:hAnsi="宋体" w:eastAsia="宋体"/>
          <w:b w:val="true"/>
          <w:bCs w:val="true"/>
          <w:color w:val="C00000"/>
          <w:kern w:val="0"/>
          <w:sz w:val="27"/>
          <w:szCs w:val="27"/>
        </w:rPr>
      </w:pPr>
      <w:r>
        <w:rPr>
          <w:rFonts w:ascii="宋体" w:hAnsi="宋体" w:eastAsia="宋体"/>
          <w:color w:val="C00000"/>
          <w:kern w:val="0"/>
          <w:sz w:val="27"/>
          <w:szCs w:val="27"/>
        </w:rPr>
        <w:t>截至2018年底，全国汽车保有量达2.4亿辆，比2017年增加2285万辆，增长10.51%。从车辆类型看，</w:t>
      </w:r>
      <w:r>
        <w:rPr>
          <w:rFonts w:ascii="宋体" w:hAnsi="宋体" w:eastAsia="宋体"/>
          <w:b w:val="true"/>
          <w:bCs w:val="true"/>
          <w:color w:val="C00000"/>
          <w:kern w:val="0"/>
          <w:sz w:val="27"/>
          <w:szCs w:val="27"/>
        </w:rPr>
        <w:t>小型载客汽车保有量首次突破2亿辆，私家车（私人小微型载客汽车）持续快速增长，刺激车载音频娱乐需求。</w:t>
      </w:r>
    </w:p>
    <w:p>
      <w:pPr>
        <w:spacing w:before="0" w:after="270" w:line="360" w:lineRule="auto"/>
        <w:ind/>
        <w:jc w:val="center"/>
        <w:rPr>
          <w:rFonts w:ascii="宋体" w:hAnsi="宋体" w:eastAsia="宋体"/>
          <w:color w:val="000000"/>
          <w:kern w:val="0"/>
          <w:sz w:val="27"/>
          <w:szCs w:val="27"/>
        </w:rPr>
      </w:pPr>
      <w:r>
        <w:rPr>
          <w:rFonts w:ascii="宋体" w:hAnsi="宋体" w:eastAsia="宋体"/>
          <w:color w:val="000000"/>
          <w:kern w:val="0"/>
          <w:sz w:val="27"/>
          <w:szCs w:val="27"/>
        </w:rPr>
        <w:t>2014-2018年中国小型载客汽车保有量走势</w:t>
      </w:r>
    </w:p>
    <w:p>
      <w:pPr>
        <w:spacing w:before="0" w:after="270" w:line="360" w:lineRule="auto"/>
        <w:ind/>
        <w:jc w:val="left"/>
        <w:rPr>
          <w:rFonts w:ascii="宋体" w:hAnsi="宋体" w:eastAsia="宋体"/>
          <w:color w:val="000000"/>
          <w:sz w:val="27"/>
          <w:szCs w:val="27"/>
        </w:rPr>
      </w:pPr>
      <w:r>
        <w:rPr>
          <w:rFonts w:ascii="微软雅黑" w:hAnsi="微软雅黑" w:eastAsia="微软雅黑"/>
          <w:color w:val="000000"/>
          <w:sz w:val="21"/>
          <w:szCs w:val="21"/>
        </w:rPr>
        <w:drawing>
          <wp:inline distT="0" distB="0" distL="0" distR="0">
            <wp:extent cx="5267325" cy="3295650"/>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5267325" cy="3295650"/>
                    </a:xfrm>
                    <a:prstGeom prst="rect">
                      <a:avLst/>
                    </a:prstGeom>
                  </pic:spPr>
                </pic:pic>
              </a:graphicData>
            </a:graphic>
          </wp:inline>
        </w:drawing>
      </w:r>
    </w:p>
    <w:p>
      <w:pPr>
        <w:spacing w:before="0" w:after="270" w:line="360" w:lineRule="auto"/>
        <w:ind/>
        <w:jc w:val="center"/>
        <w:rPr>
          <w:rFonts w:ascii="宋体" w:hAnsi="宋体" w:eastAsia="宋体"/>
          <w:color w:val="000000"/>
          <w:kern w:val="0"/>
          <w:sz w:val="27"/>
          <w:szCs w:val="27"/>
        </w:rPr>
      </w:pPr>
      <w:r>
        <w:rPr>
          <w:rFonts w:ascii="宋体" w:hAnsi="宋体" w:eastAsia="宋体"/>
          <w:color w:val="000000"/>
          <w:kern w:val="0"/>
          <w:sz w:val="27"/>
          <w:szCs w:val="27"/>
        </w:rPr>
        <w:t>数据来源：智研咨询</w:t>
      </w:r>
    </w:p>
    <w:p>
      <w:pPr>
        <w:pStyle w:val="heading3"/>
        <w:spacing w:line="360" w:lineRule="auto"/>
        <w:ind/>
        <w:jc w:val="both"/>
        <w:rPr>
          <w:rFonts w:ascii="宋体" w:hAnsi="宋体" w:eastAsia="宋体"/>
          <w:b w:val="true"/>
          <w:bCs w:val="true"/>
          <w:sz w:val="32"/>
          <w:szCs w:val="32"/>
        </w:rPr>
      </w:pPr>
      <w:r>
        <w:rPr>
          <w:rFonts w:ascii="宋体" w:hAnsi="宋体" w:eastAsia="宋体"/>
          <w:b w:val="true"/>
          <w:bCs w:val="true"/>
          <w:sz w:val="32"/>
          <w:szCs w:val="32"/>
        </w:rPr>
        <w:t>2.1.3 社会环境分析</w:t>
      </w:r>
    </w:p>
    <w:p>
      <w:pPr>
        <w:spacing w:before="0" w:after="270" w:line="360" w:lineRule="auto"/>
        <w:ind w:firstLineChars="200"/>
        <w:jc w:val="both"/>
        <w:rPr>
          <w:rFonts w:ascii="宋体" w:hAnsi="宋体" w:eastAsia="宋体"/>
          <w:color w:val="000000"/>
          <w:kern w:val="0"/>
          <w:sz w:val="27"/>
          <w:szCs w:val="27"/>
        </w:rPr>
      </w:pPr>
      <w:r>
        <w:rPr>
          <w:rFonts w:ascii="宋体" w:hAnsi="宋体" w:eastAsia="宋体"/>
          <w:color w:val="000000"/>
          <w:kern w:val="0"/>
          <w:sz w:val="27"/>
          <w:szCs w:val="27"/>
        </w:rPr>
        <w:t>网络音频独特媒介属性能够解放用户使用场景，吸引用户来通过收听音频的方式满足自身内容及娱乐需求。此外，音频业务能够与其他众多场景生态打通，共同为用户提供音频类服务。目前各大音频平台不断拓展内容分发渠道，与手机厂商、超级APP、智能音箱、互联网电视及OTT、智能家居及可穿戴设备等物联网、车联网厂商的主流品牌达成生态合作，通过提供精品内容以及精细化的联合运营服务不断扩大音频用户覆盖面和收听场景。</w:t>
      </w:r>
    </w:p>
    <w:p>
      <w:pPr>
        <w:spacing w:before="0" w:after="270" w:line="360" w:lineRule="auto"/>
        <w:ind w:firstLineChars="200"/>
        <w:jc w:val="both"/>
        <w:rPr>
          <w:rFonts w:ascii="宋体" w:hAnsi="宋体" w:eastAsia="宋体"/>
          <w:b w:val="true"/>
          <w:bCs w:val="true"/>
          <w:color w:val="C00000"/>
          <w:kern w:val="0"/>
          <w:sz w:val="27"/>
          <w:szCs w:val="27"/>
        </w:rPr>
      </w:pPr>
      <w:r>
        <w:rPr>
          <w:rFonts w:ascii="宋体" w:hAnsi="宋体" w:eastAsia="宋体"/>
          <w:color w:val="C00000"/>
          <w:kern w:val="0"/>
          <w:sz w:val="27"/>
          <w:szCs w:val="27"/>
        </w:rPr>
        <w:t>在这样的背景下，中国网络音频迎来了“耳朵经济”蓬勃发展期，2019年中国网络音频用户规模达4.9亿，同比增长30.4%，为行业的发展注入新活力。</w:t>
      </w:r>
      <w:r>
        <w:rPr>
          <w:rFonts w:ascii="宋体" w:hAnsi="宋体" w:eastAsia="宋体"/>
          <w:b w:val="true"/>
          <w:bCs w:val="true"/>
          <w:color w:val="C00000"/>
          <w:kern w:val="0"/>
          <w:sz w:val="27"/>
          <w:szCs w:val="27"/>
        </w:rPr>
        <w:t>随着网络音频平台的资源投入和品质内容供给，2020年的用户规模有望进一步激发。</w:t>
      </w:r>
    </w:p>
    <w:p>
      <w:pPr>
        <w:spacing w:before="0" w:after="270" w:line="360" w:lineRule="auto"/>
        <w:ind/>
        <w:jc w:val="left"/>
        <w:rPr>
          <w:rFonts w:ascii="宋体" w:hAnsi="宋体" w:eastAsia="宋体"/>
          <w:color w:val="000000"/>
          <w:sz w:val="27"/>
          <w:szCs w:val="27"/>
        </w:rPr>
      </w:pPr>
      <w:r>
        <w:rPr>
          <w:rFonts w:ascii="微软雅黑" w:hAnsi="微软雅黑" w:eastAsia="微软雅黑"/>
          <w:color w:val="000000"/>
          <w:sz w:val="21"/>
          <w:szCs w:val="21"/>
        </w:rPr>
        <w:drawing>
          <wp:inline distT="0" distB="0" distL="0" distR="0">
            <wp:extent cx="5760720" cy="2750743"/>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rot="21600000">
                      <a:off x="0" y="0"/>
                      <a:ext cx="5760720" cy="2750743"/>
                    </a:xfrm>
                    <a:prstGeom prst="rect">
                      <a:avLst/>
                    </a:prstGeom>
                  </pic:spPr>
                </pic:pic>
              </a:graphicData>
            </a:graphic>
          </wp:inline>
        </w:drawing>
      </w:r>
    </w:p>
    <w:p>
      <w:pPr>
        <w:spacing w:before="0" w:after="270" w:line="360" w:lineRule="auto"/>
        <w:ind/>
        <w:jc w:val="center"/>
        <w:rPr>
          <w:rFonts w:ascii="宋体" w:hAnsi="宋体" w:eastAsia="宋体"/>
          <w:color w:val="000000"/>
          <w:kern w:val="0"/>
          <w:sz w:val="27"/>
          <w:szCs w:val="27"/>
        </w:rPr>
      </w:pPr>
      <w:r>
        <w:rPr>
          <w:rFonts w:ascii="宋体" w:hAnsi="宋体" w:eastAsia="宋体"/>
          <w:color w:val="000000"/>
          <w:kern w:val="0"/>
          <w:sz w:val="27"/>
          <w:szCs w:val="27"/>
        </w:rPr>
        <w:t>数据来源：艾瑞咨询</w:t>
      </w:r>
    </w:p>
    <w:p>
      <w:pPr>
        <w:spacing w:before="0" w:after="270" w:line="360" w:lineRule="auto"/>
        <w:ind w:firstLineChars="200"/>
        <w:jc w:val="both"/>
        <w:rPr>
          <w:rFonts w:ascii="宋体" w:hAnsi="宋体" w:eastAsia="宋体"/>
          <w:color w:val="000000"/>
          <w:kern w:val="0"/>
          <w:sz w:val="27"/>
          <w:szCs w:val="27"/>
        </w:rPr>
      </w:pPr>
      <w:r>
        <w:rPr>
          <w:rFonts w:ascii="宋体" w:hAnsi="宋体" w:eastAsia="宋体"/>
          <w:b w:val="true"/>
          <w:bCs w:val="true"/>
          <w:color w:val="C00000"/>
          <w:kern w:val="0"/>
          <w:sz w:val="27"/>
          <w:szCs w:val="27"/>
        </w:rPr>
        <w:t>随着我国人均GDP的提升和内容付费产业的快速发展，内容付费的商业模式被广泛接受，网络音频用户的付费意识和付费能力逐渐增强</w:t>
      </w:r>
      <w:r>
        <w:rPr>
          <w:rFonts w:ascii="宋体" w:hAnsi="宋体" w:eastAsia="宋体"/>
          <w:color w:val="000000"/>
          <w:kern w:val="0"/>
          <w:sz w:val="27"/>
          <w:szCs w:val="27"/>
        </w:rPr>
        <w:t>，2018年中国网络核心版权收入规模的用户付费占比高达57%。而且，据艾瑞咨询对网络音频用户付费情况的调研结果来看，76.0%的用户都在音频平台产生付费行为，年平均花费为202.3元，整体付费情况较好。</w:t>
      </w:r>
    </w:p>
    <w:p>
      <w:pPr>
        <w:spacing w:before="0" w:after="270" w:line="360" w:lineRule="auto"/>
        <w:ind/>
        <w:jc w:val="left"/>
        <w:rPr>
          <w:rFonts w:ascii="宋体" w:hAnsi="宋体" w:eastAsia="宋体"/>
          <w:color w:val="000000"/>
          <w:sz w:val="27"/>
          <w:szCs w:val="27"/>
        </w:rPr>
      </w:pPr>
      <w:r>
        <w:rPr>
          <w:rFonts w:ascii="微软雅黑" w:hAnsi="微软雅黑" w:eastAsia="微软雅黑"/>
          <w:color w:val="000000"/>
          <w:sz w:val="21"/>
          <w:szCs w:val="21"/>
        </w:rPr>
        <w:drawing>
          <wp:inline distT="0" distB="0" distL="0" distR="0">
            <wp:extent cx="4752975" cy="1933575"/>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4752975" cy="1933575"/>
                    </a:xfrm>
                    <a:prstGeom prst="rect">
                      <a:avLst/>
                    </a:prstGeom>
                  </pic:spPr>
                </pic:pic>
              </a:graphicData>
            </a:graphic>
          </wp:inline>
        </w:drawing>
      </w:r>
    </w:p>
    <w:p>
      <w:pPr>
        <w:spacing w:before="0" w:after="270" w:line="360" w:lineRule="auto"/>
        <w:ind/>
        <w:jc w:val="center"/>
        <w:rPr>
          <w:rFonts w:ascii="宋体" w:hAnsi="宋体" w:eastAsia="宋体"/>
          <w:color w:val="000000"/>
          <w:kern w:val="0"/>
          <w:sz w:val="27"/>
          <w:szCs w:val="27"/>
        </w:rPr>
      </w:pPr>
      <w:r>
        <w:rPr>
          <w:rFonts w:ascii="宋体" w:hAnsi="宋体" w:eastAsia="宋体"/>
          <w:color w:val="000000"/>
          <w:kern w:val="0"/>
          <w:sz w:val="27"/>
          <w:szCs w:val="27"/>
        </w:rPr>
        <w:t>数据来源：易观千帆和艾瑞咨询</w:t>
      </w:r>
    </w:p>
    <w:p>
      <w:pPr>
        <w:spacing w:before="0" w:after="270" w:line="360" w:lineRule="auto"/>
        <w:ind w:firstLineChars="200"/>
        <w:jc w:val="both"/>
        <w:rPr>
          <w:rFonts w:ascii="宋体" w:hAnsi="宋体" w:eastAsia="宋体"/>
          <w:b w:val="true"/>
          <w:bCs w:val="true"/>
          <w:color w:val="C00000"/>
          <w:kern w:val="0"/>
          <w:sz w:val="27"/>
          <w:szCs w:val="27"/>
        </w:rPr>
      </w:pPr>
      <w:r>
        <w:rPr>
          <w:rFonts w:ascii="宋体" w:hAnsi="宋体" w:eastAsia="宋体"/>
          <w:b w:val="true"/>
          <w:bCs w:val="true"/>
          <w:color w:val="C00000"/>
          <w:kern w:val="0"/>
          <w:sz w:val="27"/>
          <w:szCs w:val="27"/>
        </w:rPr>
        <w:t>此外，二次元、配音等各类潮流文化的涌现，既丰富了音频内容，又聚集了具有相同兴趣、爱好的人群，形成良好循环的声音社区。</w:t>
      </w:r>
    </w:p>
    <w:p>
      <w:pPr>
        <w:pStyle w:val="heading3"/>
        <w:spacing w:line="360" w:lineRule="auto"/>
        <w:ind/>
        <w:jc w:val="both"/>
        <w:rPr>
          <w:rFonts w:ascii="宋体" w:hAnsi="宋体" w:eastAsia="宋体"/>
          <w:b w:val="true"/>
          <w:bCs w:val="true"/>
          <w:sz w:val="32"/>
          <w:szCs w:val="32"/>
        </w:rPr>
      </w:pPr>
      <w:r>
        <w:rPr>
          <w:rFonts w:ascii="宋体" w:hAnsi="宋体" w:eastAsia="宋体"/>
          <w:b w:val="true"/>
          <w:bCs w:val="true"/>
          <w:sz w:val="32"/>
          <w:szCs w:val="32"/>
        </w:rPr>
        <w:t>2.1.4 技术环境分析</w:t>
      </w:r>
    </w:p>
    <w:p>
      <w:pPr>
        <w:spacing w:before="0" w:after="270" w:line="360" w:lineRule="auto"/>
        <w:ind w:firstLineChars="200"/>
        <w:jc w:val="both"/>
        <w:rPr>
          <w:rFonts w:ascii="宋体" w:hAnsi="宋体" w:eastAsia="宋体"/>
          <w:b w:val="true"/>
          <w:bCs w:val="true"/>
          <w:color w:val="C00000"/>
          <w:kern w:val="0"/>
          <w:sz w:val="27"/>
          <w:szCs w:val="27"/>
        </w:rPr>
      </w:pPr>
      <w:r>
        <w:rPr>
          <w:rFonts w:ascii="宋体" w:hAnsi="宋体" w:eastAsia="宋体"/>
          <w:color w:val="C00000"/>
          <w:kern w:val="0"/>
          <w:sz w:val="27"/>
          <w:szCs w:val="27"/>
        </w:rPr>
        <w:t>移动无线网络技术取得了巨大进步，让人们从互联网时代跨入了移动互联网时代，4G技术的普及让网络音频的传播更为迅速和便捷，未来5G技术的应用将使在线音频的应用有更多创新的空间。</w:t>
      </w:r>
      <w:r>
        <w:rPr>
          <w:rFonts w:ascii="宋体" w:hAnsi="宋体" w:eastAsia="宋体"/>
          <w:b w:val="true"/>
          <w:bCs w:val="true"/>
          <w:color w:val="C00000"/>
          <w:kern w:val="0"/>
          <w:sz w:val="27"/>
          <w:szCs w:val="27"/>
        </w:rPr>
        <w:t>人工智能、物联网技术的发展为网络音频平台内容生产创造了良好基础，大数据技术的不断应用则实现了对用户的个性化智能推荐。</w:t>
      </w:r>
    </w:p>
    <w:p>
      <w:pPr>
        <w:pStyle w:val="heading2"/>
        <w:spacing w:line="360" w:lineRule="auto"/>
        <w:ind/>
        <w:jc w:val="left"/>
        <w:rPr>
          <w:rFonts w:ascii="宋体" w:hAnsi="宋体" w:eastAsia="宋体"/>
          <w:b w:val="true"/>
          <w:bCs w:val="true"/>
          <w:color w:val="1A1A1A"/>
          <w:sz w:val="32"/>
          <w:szCs w:val="32"/>
          <w:shd w:val="clear" w:fill="FFFFFF"/>
        </w:rPr>
      </w:pPr>
      <w:r>
        <w:rPr>
          <w:rFonts w:ascii="宋体" w:hAnsi="宋体" w:eastAsia="宋体"/>
          <w:b w:val="true"/>
          <w:bCs w:val="true"/>
          <w:color w:val="1A1A1A"/>
          <w:sz w:val="32"/>
          <w:szCs w:val="32"/>
          <w:shd w:val="clear" w:fill="FFFFFF"/>
        </w:rPr>
        <w:t>2.2市场竞争</w:t>
      </w:r>
    </w:p>
    <w:p>
      <w:pPr>
        <w:spacing w:before="0" w:after="270" w:line="360" w:lineRule="auto"/>
        <w:ind w:firstLineChars="200"/>
        <w:jc w:val="left"/>
        <w:rPr>
          <w:rFonts w:ascii="宋体" w:hAnsi="宋体" w:eastAsia="宋体"/>
          <w:color w:val="000000"/>
          <w:sz w:val="24"/>
          <w:szCs w:val="24"/>
        </w:rPr>
      </w:pPr>
      <w:r>
        <w:rPr>
          <w:rFonts w:ascii="宋体" w:hAnsi="宋体" w:eastAsia="宋体"/>
          <w:color w:val="000000"/>
          <w:sz w:val="24"/>
          <w:szCs w:val="24"/>
        </w:rPr>
        <w:t>根据最新数据，喜马拉雅FM的用户数为1.6亿，市场份额为25.8%。这意味着：</w:t>
      </w:r>
    </w:p>
    <w:p>
      <w:pPr>
        <w:numPr>
          <w:ilvl w:val="0"/>
          <w:numId w:val="35"/>
        </w:numPr>
        <w:spacing w:before="312" w:after="75" w:line="360" w:lineRule="auto"/>
        <w:ind w:left="720" w:hanging="360"/>
        <w:jc w:val="left"/>
        <w:rPr>
          <w:rFonts w:ascii="宋体" w:hAnsi="宋体" w:eastAsia="宋体"/>
          <w:color w:val="000000"/>
          <w:sz w:val="24"/>
          <w:szCs w:val="24"/>
        </w:rPr>
      </w:pPr>
      <w:r>
        <w:rPr>
          <w:rFonts w:hint="eastAsia"/>
        </w:rPr>
      </w:r>
      <w:r>
        <w:rPr>
          <w:rFonts w:ascii="宋体" w:hAnsi="宋体" w:eastAsia="宋体"/>
          <w:color w:val="000000"/>
          <w:sz w:val="24"/>
          <w:szCs w:val="24"/>
        </w:rPr>
        <w:t>移动电台应用市场规模为6.20亿</w:t>
      </w:r>
    </w:p>
    <w:p>
      <w:pPr>
        <w:numPr>
          <w:ilvl w:val="0"/>
          <w:numId w:val="35"/>
        </w:numPr>
        <w:spacing w:before="312" w:after="75" w:line="360" w:lineRule="auto"/>
        <w:ind w:left="720" w:hanging="360"/>
        <w:jc w:val="left"/>
        <w:rPr>
          <w:rFonts w:ascii="宋体" w:hAnsi="宋体" w:eastAsia="宋体"/>
          <w:color w:val="000000"/>
          <w:sz w:val="24"/>
          <w:szCs w:val="24"/>
        </w:rPr>
      </w:pPr>
      <w:r>
        <w:rPr>
          <w:rFonts w:hint="eastAsia"/>
        </w:rPr>
      </w:r>
      <w:r>
        <w:rPr>
          <w:rFonts w:ascii="宋体" w:hAnsi="宋体" w:eastAsia="宋体"/>
          <w:color w:val="000000"/>
          <w:sz w:val="24"/>
          <w:szCs w:val="24"/>
        </w:rPr>
        <w:t>全国人口约14亿。假设有70%的人口有收听电台的需求，那么移动电台应用的潜在市场规模为9.8亿</w:t>
      </w:r>
    </w:p>
    <w:p>
      <w:pPr>
        <w:spacing w:before="0" w:after="270" w:line="360" w:lineRule="auto"/>
        <w:ind/>
        <w:jc w:val="center"/>
        <w:rPr>
          <w:rFonts w:ascii="宋体" w:hAnsi="宋体" w:eastAsia="宋体"/>
          <w:b w:val="true"/>
          <w:bCs w:val="true"/>
          <w:color w:val="000000"/>
          <w:sz w:val="24"/>
          <w:szCs w:val="24"/>
        </w:rPr>
      </w:pPr>
      <w:r>
        <w:rPr>
          <w:rFonts w:ascii="宋体" w:hAnsi="宋体" w:eastAsia="宋体"/>
          <w:b w:val="true"/>
          <w:bCs w:val="true"/>
          <w:color w:val="000000"/>
          <w:sz w:val="24"/>
          <w:szCs w:val="24"/>
        </w:rPr>
        <w:t>各移动电台应用市场占比</w:t>
      </w:r>
    </w:p>
    <w:p>
      <w:pPr>
        <w:spacing w:before="0" w:after="270" w:line="360" w:lineRule="auto"/>
        <w:ind/>
        <w:jc w:val="left"/>
        <w:rPr>
          <w:rFonts w:ascii="宋体" w:hAnsi="宋体" w:eastAsia="宋体"/>
          <w:color w:val="000000"/>
          <w:sz w:val="24"/>
          <w:szCs w:val="24"/>
        </w:rPr>
      </w:pPr>
      <w:r>
        <w:rPr>
          <w:rFonts w:ascii="微软雅黑" w:hAnsi="微软雅黑" w:eastAsia="微软雅黑"/>
          <w:color w:val="000000"/>
          <w:sz w:val="21"/>
          <w:szCs w:val="21"/>
        </w:rPr>
        <w:t xml:space="preserve"> </w:t>
      </w:r>
      <w:r>
        <w:rPr>
          <w:rFonts w:ascii="微软雅黑" w:hAnsi="微软雅黑" w:eastAsia="微软雅黑"/>
          <w:color w:val="000000"/>
          <w:sz w:val="21"/>
          <w:szCs w:val="21"/>
        </w:rPr>
        <w:drawing>
          <wp:inline distT="0" distB="0" distL="0" distR="0">
            <wp:extent cx="5760720" cy="2311488"/>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rot="21600000">
                      <a:off x="0" y="0"/>
                      <a:ext cx="5760720" cy="2311488"/>
                    </a:xfrm>
                    <a:prstGeom prst="rect">
                      <a:avLst/>
                    </a:prstGeom>
                  </pic:spPr>
                </pic:pic>
              </a:graphicData>
            </a:graphic>
          </wp:inline>
        </w:drawing>
      </w:r>
    </w:p>
    <w:p>
      <w:pPr>
        <w:spacing w:before="0" w:after="270" w:line="360" w:lineRule="auto"/>
        <w:ind/>
        <w:jc w:val="left"/>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267325" cy="2381250"/>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5267325" cy="2381250"/>
                    </a:xfrm>
                    <a:prstGeom prst="rect">
                      <a:avLst/>
                    </a:prstGeom>
                  </pic:spPr>
                </pic:pic>
              </a:graphicData>
            </a:graphic>
          </wp:inline>
        </w:drawing>
      </w:r>
    </w:p>
    <w:p>
      <w:pPr>
        <w:spacing w:before="0" w:after="0" w:line="360" w:lineRule="auto"/>
        <w:ind/>
        <w:jc w:val="both"/>
        <w:rPr>
          <w:rFonts w:ascii="宋体" w:hAnsi="宋体" w:eastAsia="宋体"/>
          <w:color w:val="000000"/>
          <w:sz w:val="21"/>
          <w:szCs w:val="21"/>
        </w:rPr>
      </w:pPr>
      <w:r>
        <w:rPr>
          <w:rFonts w:ascii="宋体" w:hAnsi="宋体" w:eastAsia="宋体"/>
          <w:color w:val="000000"/>
          <w:sz w:val="21"/>
          <w:szCs w:val="21"/>
        </w:rPr>
      </w:r>
    </w:p>
    <w:p>
      <w:pPr>
        <w:pStyle w:val="heading1"/>
        <w:numPr>
          <w:ilvl w:val="0"/>
          <w:numId w:val="34"/>
        </w:numPr>
        <w:spacing w:line="360" w:lineRule="auto"/>
        <w:ind w:leftChars="160" w:hangingChars="160"/>
        <w:jc w:val="left"/>
        <w:rPr>
          <w:rFonts w:ascii="宋体" w:hAnsi="宋体" w:eastAsia="宋体"/>
          <w:b w:val="true"/>
          <w:bCs w:val="true"/>
          <w:color w:val="1A1A1A"/>
          <w:sz w:val="36"/>
          <w:szCs w:val="36"/>
        </w:rPr>
      </w:pPr>
      <w:r>
        <w:rPr>
          <w:rFonts w:hint="eastAsia"/>
        </w:rPr>
      </w:r>
      <w:r>
        <w:rPr>
          <w:rFonts w:ascii="宋体" w:hAnsi="宋体" w:eastAsia="宋体"/>
          <w:b w:val="true"/>
          <w:bCs w:val="true"/>
          <w:color w:val="1A1A1A"/>
          <w:sz w:val="36"/>
          <w:szCs w:val="36"/>
        </w:rPr>
        <w:t xml:space="preserve">需求分析  </w:t>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3.1用户需求分析</w:t>
      </w:r>
    </w:p>
    <w:p>
      <w:pPr>
        <w:spacing w:before="60" w:after="60" w:line="360" w:lineRule="auto"/>
        <w:ind/>
        <w:jc w:val="left"/>
        <w:rPr>
          <w:rFonts w:ascii="宋体" w:hAnsi="宋体" w:eastAsia="宋体"/>
          <w:color w:val="000000"/>
          <w:sz w:val="22"/>
          <w:szCs w:val="22"/>
        </w:rPr>
      </w:pPr>
      <w:r>
        <w:rPr>
          <w:rFonts w:ascii="宋体" w:hAnsi="宋体" w:eastAsia="宋体"/>
          <w:color w:val="000000"/>
          <w:sz w:val="22"/>
          <w:szCs w:val="22"/>
        </w:rPr>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3.2用户场景和需求</w:t>
      </w:r>
    </w:p>
    <w:p>
      <w:pPr>
        <w:spacing w:before="60" w:after="60" w:line="360" w:lineRule="auto"/>
        <w:ind/>
        <w:jc w:val="left"/>
        <w:rPr>
          <w:rFonts w:ascii="宋体" w:hAnsi="宋体" w:eastAsia="宋体"/>
          <w:color w:val="000000"/>
          <w:sz w:val="22"/>
          <w:szCs w:val="22"/>
        </w:rPr>
      </w:pPr>
      <w:r>
        <w:rPr>
          <w:rFonts w:ascii="微软雅黑" w:hAnsi="微软雅黑" w:eastAsia="微软雅黑"/>
          <w:color w:val="000000"/>
          <w:sz w:val="21"/>
          <w:szCs w:val="21"/>
        </w:rPr>
        <w:drawing>
          <wp:inline distT="0" distB="0" distL="0" distR="0">
            <wp:extent cx="5753100" cy="7543800"/>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5753100" cy="7543800"/>
                    </a:xfrm>
                    <a:prstGeom prst="rect">
                      <a:avLst/>
                    </a:prstGeom>
                  </pic:spPr>
                </pic:pic>
              </a:graphicData>
            </a:graphic>
          </wp:inline>
        </w:drawing>
      </w:r>
    </w:p>
    <w:p>
      <w:pPr>
        <w:numPr>
          <w:ilvl w:val="0"/>
          <w:numId w:val="33"/>
        </w:numPr>
        <w:spacing w:before="60" w:after="60" w:line="360" w:lineRule="auto"/>
        <w:ind w:leftChars="160" w:hangingChars="160"/>
        <w:jc w:val="left"/>
        <w:rPr>
          <w:rFonts w:ascii="宋体" w:hAnsi="宋体" w:eastAsia="宋体"/>
          <w:color w:val="333333"/>
          <w:sz w:val="22"/>
          <w:szCs w:val="22"/>
        </w:rPr>
      </w:pPr>
      <w:r>
        <w:rPr>
          <w:rFonts w:hint="eastAsia"/>
        </w:rPr>
      </w:r>
      <w:r>
        <w:rPr>
          <w:rFonts w:ascii="宋体" w:hAnsi="宋体" w:eastAsia="宋体"/>
          <w:color w:val="333333"/>
          <w:sz w:val="22"/>
          <w:szCs w:val="22"/>
        </w:rPr>
        <w:t>产出者：发布作品方便快捷，有稳定的曝光渠道和粉丝来源，可以收获成就感和他人的评价；</w:t>
      </w:r>
    </w:p>
    <w:p>
      <w:pPr>
        <w:numPr>
          <w:ilvl w:val="0"/>
          <w:numId w:val="33"/>
        </w:numPr>
        <w:spacing w:before="60" w:after="60" w:line="360" w:lineRule="auto"/>
        <w:ind w:leftChars="160" w:hangingChars="160"/>
        <w:jc w:val="left"/>
        <w:rPr>
          <w:rFonts w:ascii="宋体" w:hAnsi="宋体" w:eastAsia="宋体"/>
          <w:color w:val="333333"/>
          <w:sz w:val="22"/>
          <w:szCs w:val="22"/>
        </w:rPr>
      </w:pPr>
      <w:r>
        <w:rPr>
          <w:rFonts w:hint="eastAsia"/>
        </w:rPr>
      </w:r>
      <w:r>
        <w:rPr>
          <w:rFonts w:ascii="宋体" w:hAnsi="宋体" w:eastAsia="宋体"/>
          <w:color w:val="333333"/>
          <w:sz w:val="22"/>
          <w:szCs w:val="22"/>
        </w:rPr>
        <w:t>收听者：有广泛的资源，有大量的声优群体，有共同兴趣爱好的圈内人交流</w:t>
      </w:r>
    </w:p>
    <w:p>
      <w:pPr>
        <w:pStyle w:val="heading1"/>
        <w:numPr>
          <w:ilvl w:val="0"/>
          <w:numId w:val="34"/>
        </w:numPr>
        <w:spacing w:line="360" w:lineRule="auto"/>
        <w:ind w:leftChars="160" w:hangingChars="160"/>
        <w:jc w:val="left"/>
        <w:rPr>
          <w:rFonts w:ascii="宋体" w:hAnsi="宋体" w:eastAsia="宋体"/>
          <w:b w:val="true"/>
          <w:bCs w:val="true"/>
          <w:color w:val="1A1A1A"/>
          <w:sz w:val="36"/>
          <w:szCs w:val="36"/>
        </w:rPr>
      </w:pPr>
      <w:r>
        <w:rPr>
          <w:rFonts w:hint="eastAsia"/>
        </w:rPr>
      </w:r>
      <w:r>
        <w:rPr>
          <w:rFonts w:ascii="宋体" w:hAnsi="宋体" w:eastAsia="宋体"/>
          <w:b w:val="true"/>
          <w:bCs w:val="true"/>
          <w:color w:val="1A1A1A"/>
          <w:sz w:val="36"/>
          <w:szCs w:val="36"/>
        </w:rPr>
        <w:t>竞品分析（以猫耳FM、喜马拉雅FM为例）</w:t>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4.</w:t>
      </w:r>
      <w:r>
        <w:rPr>
          <w:rFonts w:ascii="宋体" w:hAnsi="宋体" w:eastAsia="宋体"/>
          <w:b w:val="true"/>
          <w:bCs w:val="true"/>
          <w:color w:val="1A1A1A"/>
          <w:sz w:val="32"/>
          <w:szCs w:val="32"/>
        </w:rPr>
        <w:t>1</w:t>
      </w:r>
      <w:r>
        <w:rPr>
          <w:rFonts w:ascii="宋体" w:hAnsi="宋体" w:eastAsia="宋体"/>
          <w:b w:val="true"/>
          <w:bCs w:val="true"/>
          <w:color w:val="1A1A1A"/>
          <w:sz w:val="32"/>
          <w:szCs w:val="32"/>
        </w:rPr>
        <w:t xml:space="preserve"> 生态环境对比</w:t>
      </w:r>
    </w:p>
    <w:p>
      <w:pPr>
        <w:spacing w:before="0" w:after="270" w:line="360" w:lineRule="auto"/>
        <w:ind/>
        <w:jc w:val="left"/>
        <w:rPr>
          <w:rFonts w:ascii="宋体" w:hAnsi="宋体" w:eastAsia="宋体"/>
          <w:b w:val="true"/>
          <w:bCs w:val="true"/>
          <w:color w:val="000000"/>
          <w:sz w:val="24"/>
          <w:szCs w:val="24"/>
          <w:shd w:val="clear" w:fill="FFFFFF"/>
        </w:rPr>
      </w:pPr>
      <w:r>
        <w:rPr>
          <w:rFonts w:ascii="宋体" w:hAnsi="宋体" w:eastAsia="宋体"/>
          <w:b w:val="true"/>
          <w:bCs w:val="true"/>
          <w:color w:val="000000"/>
          <w:sz w:val="24"/>
          <w:szCs w:val="24"/>
          <w:shd w:val="clear" w:fill="FFFFFF"/>
        </w:rPr>
        <w:t>猫耳FM在二次元、广播剧领域深耕。</w:t>
      </w:r>
    </w:p>
    <w:p>
      <w:pPr>
        <w:spacing w:before="0" w:after="270" w:line="360" w:lineRule="auto"/>
        <w:ind/>
        <w:jc w:val="left"/>
        <w:rPr>
          <w:rFonts w:ascii="宋体" w:hAnsi="宋体" w:eastAsia="宋体"/>
          <w:b w:val="true"/>
          <w:bCs w:val="true"/>
          <w:color w:val="000000"/>
          <w:sz w:val="24"/>
          <w:szCs w:val="24"/>
          <w:shd w:val="clear" w:fill="FFFFFF"/>
        </w:rPr>
      </w:pPr>
      <w:r>
        <w:rPr>
          <w:rFonts w:ascii="宋体" w:hAnsi="宋体" w:eastAsia="宋体"/>
          <w:b w:val="true"/>
          <w:bCs w:val="true"/>
          <w:color w:val="000000"/>
          <w:sz w:val="24"/>
          <w:szCs w:val="24"/>
          <w:shd w:val="clear" w:fill="FFFFFF"/>
        </w:rPr>
        <w:t>喜马拉雅FM的引领在于其不断深耕内容资源，同时扩展更多消费场景，通过建立全音频生态系统，来强化品牌价值。</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内容深化与扩展：喜马拉雅内容集中在三方面：主播、IP资源以及基础内容。主播：鼓励用户创作、成熟的主播成长体系、系统的录音指导和运营推广。IP资源：利用IP资源夯实了在精品付费内容领域的基石。娱乐与知识的融合，能够满足各个层次用户的多元化需求。基础内容：作为一个综合音频分享平台，喜马拉雅的基础内容品类齐全、形式多元。 多渠道布局：通过多个渠道构筑完整的音频生态体系。推出 “喜马拉雅Inside”开放平台，与下游硬件厂商合作，为智能硬件产品提供有声内容解决方案；推出智能音响；联手宝马、奥迪、福特、大众等60家整车厂；合作研发车载智能语音助手。</w:t>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4.</w:t>
      </w:r>
      <w:r>
        <w:rPr>
          <w:rFonts w:ascii="宋体" w:hAnsi="宋体" w:eastAsia="宋体"/>
          <w:b w:val="true"/>
          <w:bCs w:val="true"/>
          <w:color w:val="1A1A1A"/>
          <w:sz w:val="32"/>
          <w:szCs w:val="32"/>
        </w:rPr>
        <w:t>2</w:t>
      </w:r>
      <w:r>
        <w:rPr>
          <w:rFonts w:ascii="宋体" w:hAnsi="宋体" w:eastAsia="宋体"/>
          <w:b w:val="true"/>
          <w:bCs w:val="true"/>
          <w:color w:val="1A1A1A"/>
          <w:sz w:val="32"/>
          <w:szCs w:val="32"/>
        </w:rPr>
        <w:t xml:space="preserve"> 战略对比（产品定位）</w:t>
      </w:r>
    </w:p>
    <w:p>
      <w:pPr>
        <w:spacing w:before="0" w:after="270" w:line="360" w:lineRule="auto"/>
        <w:ind/>
        <w:jc w:val="left"/>
        <w:rPr>
          <w:rFonts w:ascii="宋体" w:hAnsi="宋体" w:eastAsia="宋体"/>
          <w:b w:val="true"/>
          <w:bCs w:val="true"/>
          <w:color w:val="000000"/>
          <w:sz w:val="24"/>
          <w:szCs w:val="24"/>
          <w:shd w:val="clear" w:fill="FFFFFF"/>
        </w:rPr>
      </w:pPr>
      <w:r>
        <w:rPr>
          <w:rFonts w:ascii="宋体" w:hAnsi="宋体" w:eastAsia="宋体"/>
          <w:b w:val="true"/>
          <w:bCs w:val="true"/>
          <w:color w:val="000000"/>
          <w:sz w:val="24"/>
          <w:szCs w:val="24"/>
          <w:shd w:val="clear" w:fill="FFFFFF"/>
        </w:rPr>
        <w:t>猫耳FM整体来说还是一款垂直化社区，主要迎合声控、二次元爱好者、日语爱好者、原耽爱好者等二次元属性用户，专注于提供ACG相关内容。主要针对的是原耽爱好者简称“腐女”，还有大量的声控爱好者，大多数是20-30岁的女性用户。先后开启了二次元音频、有声漫画、广播剧和直播等板块，主要的业务线就是将国内市场的热门大IP与声优结合制成有声漫画和广播剧，在平台播放。2018年猫耳fm已被bilibili以10亿价格收购。</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喜马拉雅FM是一款为音频生产者提供内容生产渠道的，通过平台的各种展现形式把“PGC+UGC+社交”的多维度电台。是目前国内发展最快、规模最大的在线移动音频分享平台。喜马拉雅FM采取的是PGC+UGC的内容生产策略，扮演音频生态构建者的角色，是平台上的内容能覆盖到各更为广阔的用户群体，满足不同用户的需求，用PGC与引进、扶持的优质UGC主播来满足主流需求，其余散养的UGC满足长尾需求。通过这样的方式喜马拉雅FM成为音频创作者最集中、最活跃的平台，凭借海量的音频内容积累了大量用户，活跃用户量也处于行业领先。</w:t>
      </w:r>
    </w:p>
    <w:p>
      <w:pPr>
        <w:spacing w:before="60" w:after="60" w:line="360" w:lineRule="auto"/>
        <w:ind/>
        <w:jc w:val="left"/>
        <w:rPr>
          <w:rFonts w:ascii="宋体" w:hAnsi="宋体" w:eastAsia="宋体"/>
          <w:color w:val="333333"/>
          <w:sz w:val="22"/>
          <w:szCs w:val="22"/>
        </w:rPr>
      </w:pPr>
      <w:r>
        <w:rPr>
          <w:rFonts w:ascii="宋体" w:hAnsi="宋体" w:eastAsia="宋体"/>
          <w:color w:val="333333"/>
          <w:sz w:val="22"/>
          <w:szCs w:val="22"/>
        </w:rPr>
        <w:t xml:space="preserve">  </w:t>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4.</w:t>
      </w:r>
      <w:r>
        <w:rPr>
          <w:rFonts w:ascii="宋体" w:hAnsi="宋体" w:eastAsia="宋体"/>
          <w:b w:val="true"/>
          <w:bCs w:val="true"/>
          <w:color w:val="1A1A1A"/>
          <w:sz w:val="32"/>
          <w:szCs w:val="32"/>
        </w:rPr>
        <w:t>3</w:t>
      </w:r>
      <w:r>
        <w:rPr>
          <w:rFonts w:ascii="宋体" w:hAnsi="宋体" w:eastAsia="宋体"/>
          <w:b w:val="true"/>
          <w:bCs w:val="true"/>
          <w:color w:val="1A1A1A"/>
          <w:sz w:val="32"/>
          <w:szCs w:val="32"/>
        </w:rPr>
        <w:t xml:space="preserve"> 功能范围对比</w:t>
      </w:r>
    </w:p>
    <w:p>
      <w:pPr>
        <w:spacing w:before="60" w:after="60" w:line="360" w:lineRule="auto"/>
        <w:ind/>
        <w:jc w:val="left"/>
        <w:rPr>
          <w:rFonts w:ascii="宋体" w:hAnsi="宋体" w:eastAsia="宋体"/>
          <w:color w:val="333333"/>
          <w:sz w:val="22"/>
          <w:szCs w:val="22"/>
        </w:rPr>
      </w:pPr>
      <w:r>
        <w:rPr>
          <w:rFonts w:ascii="微软雅黑" w:hAnsi="微软雅黑" w:eastAsia="微软雅黑"/>
          <w:color w:val="000000"/>
          <w:sz w:val="21"/>
          <w:szCs w:val="21"/>
        </w:rPr>
        <w:drawing>
          <wp:inline distT="0" distB="0" distL="0" distR="0">
            <wp:extent cx="5753100" cy="3524250"/>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5753100" cy="3524250"/>
                    </a:xfrm>
                    <a:prstGeom prst="rect">
                      <a:avLst/>
                    </a:prstGeom>
                  </pic:spPr>
                </pic:pic>
              </a:graphicData>
            </a:graphic>
          </wp:inline>
        </w:drawing>
      </w:r>
      <w:r>
        <w:rPr>
          <w:rFonts w:ascii="微软雅黑" w:hAnsi="微软雅黑" w:eastAsia="微软雅黑"/>
          <w:color w:val="000000"/>
          <w:sz w:val="21"/>
          <w:szCs w:val="21"/>
        </w:rPr>
        <w:drawing>
          <wp:inline distT="0" distB="0" distL="0" distR="0">
            <wp:extent cx="5753100" cy="3524250"/>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5753100" cy="3524250"/>
                    </a:xfrm>
                    <a:prstGeom prst="rect">
                      <a:avLst/>
                    </a:prstGeom>
                  </pic:spPr>
                </pic:pic>
              </a:graphicData>
            </a:graphic>
          </wp:inline>
        </w:drawing>
      </w:r>
      <w:r>
        <w:rPr>
          <w:rFonts w:ascii="宋体" w:hAnsi="宋体" w:eastAsia="宋体"/>
          <w:color w:val="333333"/>
          <w:sz w:val="22"/>
          <w:szCs w:val="22"/>
        </w:rPr>
        <w:t xml:space="preserve">  </w:t>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4.</w:t>
      </w:r>
      <w:r>
        <w:rPr>
          <w:rFonts w:ascii="宋体" w:hAnsi="宋体" w:eastAsia="宋体"/>
          <w:b w:val="true"/>
          <w:bCs w:val="true"/>
          <w:color w:val="1A1A1A"/>
          <w:sz w:val="32"/>
          <w:szCs w:val="32"/>
        </w:rPr>
        <w:t>4</w:t>
      </w:r>
      <w:r>
        <w:rPr>
          <w:rFonts w:ascii="宋体" w:hAnsi="宋体" w:eastAsia="宋体"/>
          <w:b w:val="true"/>
          <w:bCs w:val="true"/>
          <w:color w:val="1A1A1A"/>
          <w:sz w:val="32"/>
          <w:szCs w:val="32"/>
        </w:rPr>
        <w:t xml:space="preserve"> 产品结构对比</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M站用PGC满足主流需求，而很大程度弱化了UGC。M站早期由于过度开放的UGC导致产品下架，加之二次元属性用户的某些特性，使得M站对于UGC格外谨慎，而对于UGC的弱化也直接导致产品的活跃度无法达到理想状态。</w:t>
      </w:r>
    </w:p>
    <w:p>
      <w:pPr>
        <w:spacing w:before="60" w:after="60" w:line="360" w:lineRule="auto"/>
        <w:ind/>
        <w:jc w:val="left"/>
        <w:rPr>
          <w:rFonts w:ascii="宋体" w:hAnsi="宋体" w:eastAsia="宋体"/>
          <w:color w:val="000000"/>
          <w:sz w:val="24"/>
          <w:szCs w:val="24"/>
          <w:shd w:val="clear" w:fill="FFFFFF"/>
        </w:rPr>
      </w:pPr>
      <w:r>
        <w:rPr>
          <w:rFonts w:ascii="微软雅黑" w:hAnsi="微软雅黑" w:eastAsia="微软雅黑"/>
          <w:color w:val="000000"/>
          <w:sz w:val="21"/>
          <w:szCs w:val="21"/>
        </w:rPr>
        <w:drawing>
          <wp:inline distT="0" distB="0" distL="0" distR="0">
            <wp:extent cx="5753100" cy="3524250"/>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5753100" cy="3524250"/>
                    </a:xfrm>
                    <a:prstGeom prst="rect">
                      <a:avLst/>
                    </a:prstGeom>
                  </pic:spPr>
                </pic:pic>
              </a:graphicData>
            </a:graphic>
          </wp:inline>
        </w:drawing>
      </w:r>
      <w:r>
        <w:rPr>
          <w:rFonts w:ascii="宋体" w:hAnsi="宋体" w:eastAsia="宋体"/>
          <w:color w:val="000000"/>
          <w:sz w:val="24"/>
          <w:szCs w:val="24"/>
          <w:shd w:val="clear" w:fill="FFFFFF"/>
        </w:rPr>
        <w:t>喜马拉雅FM采取”PGC+UGC”的内容生产策略，扮演音频生态构建者的角色，使平台上的内容能覆盖更广阔的用户、满足不同用户的需求。用PGC与引进、扶持的优质UGC主播来满足主流需求，其余散养UGC满足长尾需求。通过这样的方式喜马拉雅FM成为音频创作者最集中、最活跃的平台，凭借海量的音频内容积累了大量用户，活跃用户量也处于行业领先。</w:t>
      </w:r>
    </w:p>
    <w:p>
      <w:pPr>
        <w:spacing w:before="60" w:after="60" w:line="360" w:lineRule="auto"/>
        <w:ind/>
        <w:jc w:val="left"/>
        <w:rPr>
          <w:rFonts w:ascii="宋体" w:hAnsi="宋体" w:eastAsia="宋体"/>
          <w:color w:val="333333"/>
          <w:sz w:val="22"/>
          <w:szCs w:val="22"/>
        </w:rPr>
      </w:pPr>
      <w:r>
        <w:rPr>
          <w:rFonts w:ascii="微软雅黑" w:hAnsi="微软雅黑" w:eastAsia="微软雅黑"/>
          <w:color w:val="000000"/>
          <w:sz w:val="21"/>
          <w:szCs w:val="21"/>
        </w:rPr>
        <w:drawing>
          <wp:inline distT="0" distB="0" distL="0" distR="0">
            <wp:extent cx="5753100" cy="3524250"/>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19"/>
                    <a:stretch>
                      <a:fillRect/>
                    </a:stretch>
                  </pic:blipFill>
                  <pic:spPr>
                    <a:xfrm>
                      <a:off x="0" y="0"/>
                      <a:ext cx="5753100" cy="3524250"/>
                    </a:xfrm>
                    <a:prstGeom prst="rect">
                      <a:avLst/>
                    </a:prstGeom>
                  </pic:spPr>
                </pic:pic>
              </a:graphicData>
            </a:graphic>
          </wp:inline>
        </w:drawing>
      </w:r>
      <w:r>
        <w:rPr>
          <w:rFonts w:ascii="宋体" w:hAnsi="宋体" w:eastAsia="宋体"/>
          <w:color w:val="333333"/>
          <w:sz w:val="22"/>
          <w:szCs w:val="22"/>
        </w:rPr>
        <w:t xml:space="preserve">  </w:t>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4.6 产品框架对比</w:t>
      </w:r>
    </w:p>
    <w:p>
      <w:pPr>
        <w:spacing w:before="60" w:after="60" w:line="360" w:lineRule="auto"/>
        <w:ind/>
        <w:jc w:val="left"/>
        <w:rPr>
          <w:rFonts w:ascii="宋体" w:hAnsi="宋体" w:eastAsia="宋体"/>
          <w:b w:val="true"/>
          <w:bCs w:val="true"/>
          <w:color w:val="000000"/>
          <w:sz w:val="27"/>
          <w:szCs w:val="27"/>
          <w:shd w:val="clear" w:fill="FFFFFF"/>
        </w:rPr>
      </w:pPr>
      <w:r>
        <w:rPr>
          <w:rFonts w:ascii="微软雅黑" w:hAnsi="微软雅黑" w:eastAsia="微软雅黑"/>
          <w:color w:val="000000"/>
          <w:sz w:val="21"/>
          <w:szCs w:val="21"/>
        </w:rPr>
        <w:drawing>
          <wp:inline distT="0" distB="0" distL="0" distR="0">
            <wp:extent cx="3933825" cy="2514600"/>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0"/>
                    <a:stretch>
                      <a:fillRect/>
                    </a:stretch>
                  </pic:blipFill>
                  <pic:spPr>
                    <a:xfrm>
                      <a:off x="0" y="0"/>
                      <a:ext cx="3933825" cy="2514600"/>
                    </a:xfrm>
                    <a:prstGeom prst="rect">
                      <a:avLst/>
                    </a:prstGeom>
                  </pic:spPr>
                </pic:pic>
              </a:graphicData>
            </a:graphic>
          </wp:inline>
        </w:drawing>
      </w:r>
      <w:r>
        <w:rPr>
          <w:rFonts w:ascii="微软雅黑" w:hAnsi="微软雅黑" w:eastAsia="微软雅黑"/>
          <w:color w:val="000000"/>
          <w:sz w:val="21"/>
          <w:szCs w:val="21"/>
        </w:rPr>
        <w:drawing>
          <wp:inline distT="0" distB="0" distL="0" distR="0">
            <wp:extent cx="3114675" cy="6429375"/>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1"/>
                    <a:stretch>
                      <a:fillRect/>
                    </a:stretch>
                  </pic:blipFill>
                  <pic:spPr>
                    <a:xfrm>
                      <a:off x="0" y="0"/>
                      <a:ext cx="3114675" cy="6429375"/>
                    </a:xfrm>
                    <a:prstGeom prst="rect">
                      <a:avLst/>
                    </a:prstGeom>
                  </pic:spPr>
                </pic:pic>
              </a:graphicData>
            </a:graphic>
          </wp:inline>
        </w:drawing>
      </w:r>
      <w:r>
        <w:rPr>
          <w:rFonts w:ascii="微软雅黑" w:hAnsi="微软雅黑" w:eastAsia="微软雅黑"/>
          <w:color w:val="000000"/>
          <w:sz w:val="21"/>
          <w:szCs w:val="21"/>
        </w:rPr>
        <w:drawing>
          <wp:inline distT="0" distB="0" distL="0" distR="0">
            <wp:extent cx="3933825" cy="2514600"/>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2"/>
                    <a:stretch>
                      <a:fillRect/>
                    </a:stretch>
                  </pic:blipFill>
                  <pic:spPr>
                    <a:xfrm>
                      <a:off x="0" y="0"/>
                      <a:ext cx="3933825" cy="2514600"/>
                    </a:xfrm>
                    <a:prstGeom prst="rect">
                      <a:avLst/>
                    </a:prstGeom>
                  </pic:spPr>
                </pic:pic>
              </a:graphicData>
            </a:graphic>
          </wp:inline>
        </w:drawing>
      </w:r>
      <w:r>
        <w:rPr>
          <w:rFonts w:ascii="微软雅黑" w:hAnsi="微软雅黑" w:eastAsia="微软雅黑"/>
          <w:color w:val="000000"/>
          <w:sz w:val="21"/>
          <w:szCs w:val="21"/>
        </w:rPr>
        <w:drawing>
          <wp:inline distT="0" distB="0" distL="0" distR="0">
            <wp:extent cx="2819400" cy="7381875"/>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3"/>
                    <a:stretch>
                      <a:fillRect/>
                    </a:stretch>
                  </pic:blipFill>
                  <pic:spPr>
                    <a:xfrm>
                      <a:off x="0" y="0"/>
                      <a:ext cx="2819400" cy="7381875"/>
                    </a:xfrm>
                    <a:prstGeom prst="rect">
                      <a:avLst/>
                    </a:prstGeom>
                  </pic:spPr>
                </pic:pic>
              </a:graphicData>
            </a:graphic>
          </wp:inline>
        </w:drawing>
      </w:r>
      <w:r>
        <w:rPr>
          <w:rFonts w:ascii="宋体" w:hAnsi="宋体" w:eastAsia="宋体"/>
          <w:b w:val="true"/>
          <w:bCs w:val="true"/>
          <w:color w:val="000000"/>
          <w:sz w:val="27"/>
          <w:szCs w:val="27"/>
          <w:shd w:val="clear" w:fill="FFFFFF"/>
        </w:rPr>
        <w:t xml:space="preserve">  </w:t>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4.7 视觉表现对比</w:t>
      </w:r>
    </w:p>
    <w:p>
      <w:pPr>
        <w:spacing w:before="0" w:after="270" w:line="360" w:lineRule="auto"/>
        <w:ind/>
        <w:jc w:val="left"/>
        <w:rPr>
          <w:rFonts w:ascii="宋体" w:hAnsi="宋体" w:eastAsia="宋体"/>
          <w:b w:val="true"/>
          <w:bCs w:val="true"/>
          <w:color w:val="000000"/>
          <w:sz w:val="24"/>
          <w:szCs w:val="24"/>
          <w:shd w:val="clear" w:fill="FFFFFF"/>
        </w:rPr>
      </w:pPr>
      <w:r>
        <w:rPr>
          <w:rFonts w:ascii="宋体" w:hAnsi="宋体" w:eastAsia="宋体"/>
          <w:b w:val="true"/>
          <w:bCs w:val="true"/>
          <w:color w:val="000000"/>
          <w:sz w:val="24"/>
          <w:szCs w:val="24"/>
          <w:shd w:val="clear" w:fill="FFFFFF"/>
        </w:rPr>
        <w:t>M站视觉上：</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主站头图KV使用IP经典的M娘，黑紫色调偏浓重，与白底形成强对比，在视觉上弱化了站点整体白底铺图文的扁平感。来自二次元的视觉冲击扑面而来，识别度高，次元壁醒目。很好的迎合了受众的审美以及对“次元壁”期望。</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图文排版为主，尽可能回显内容的热度以吸引用户进入。封面图片中二次元图片为主，大部分为原著插画、漫画、官方海报，秉承了M站鼓励禁止主播在站点露脸，以更好的满足用户对美好声音的期望。</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站点元素萌Q风格，猫耳、猫咪、M娘、loading GIF、主站浮窗以及标志性的启动音等，鲜明经典的IP元素，细节拉满。</w:t>
      </w:r>
    </w:p>
    <w:p>
      <w:pPr>
        <w:spacing w:before="0" w:after="270" w:line="360" w:lineRule="auto"/>
        <w:ind/>
        <w:jc w:val="left"/>
        <w:rPr>
          <w:rFonts w:ascii="宋体" w:hAnsi="宋体" w:eastAsia="宋体"/>
          <w:b w:val="true"/>
          <w:bCs w:val="true"/>
          <w:color w:val="000000"/>
          <w:sz w:val="24"/>
          <w:szCs w:val="24"/>
          <w:shd w:val="clear" w:fill="FFFFFF"/>
        </w:rPr>
      </w:pPr>
      <w:r>
        <w:rPr>
          <w:rFonts w:ascii="宋体" w:hAnsi="宋体" w:eastAsia="宋体"/>
          <w:b w:val="true"/>
          <w:bCs w:val="true"/>
          <w:color w:val="000000"/>
          <w:sz w:val="24"/>
          <w:szCs w:val="24"/>
          <w:shd w:val="clear" w:fill="FFFFFF"/>
        </w:rPr>
        <w:t>M站内容上：</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内容上以二次元、广播剧为主。由于二次元属性用户的某些特性，M站用PGC满足主流需求，而很大程度弱化了UGC，这也直接导致活跃度无法达到理想状态。</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在分类tab和推荐页内容中，广播剧tab以及广播剧内容占据主要位置，banner几乎全是广播剧，作为M站最大的ATM，M站对广播剧赤裸裸的宠爱，给予了绝对的优质资源。</w:t>
      </w:r>
    </w:p>
    <w:p>
      <w:pPr>
        <w:spacing w:before="0" w:after="270" w:line="360" w:lineRule="auto"/>
        <w:ind/>
        <w:jc w:val="left"/>
        <w:rPr>
          <w:rFonts w:ascii="宋体" w:hAnsi="宋体" w:eastAsia="宋体"/>
          <w:b w:val="true"/>
          <w:bCs w:val="true"/>
          <w:color w:val="000000"/>
          <w:sz w:val="24"/>
          <w:szCs w:val="24"/>
          <w:shd w:val="clear" w:fill="FFFFFF"/>
        </w:rPr>
      </w:pPr>
      <w:r>
        <w:rPr>
          <w:rFonts w:ascii="宋体" w:hAnsi="宋体" w:eastAsia="宋体"/>
          <w:b w:val="true"/>
          <w:bCs w:val="true"/>
          <w:color w:val="000000"/>
          <w:sz w:val="24"/>
          <w:szCs w:val="24"/>
          <w:shd w:val="clear" w:fill="FFFFFF"/>
        </w:rPr>
        <w:t>M站功能上：</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比较直观的功能与内容表现，学习成本较低，但存在冗余现象，内容划分方面相比其他同类产品有待完善。【首页】【我听 】【在听】【发现】【我的】</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首页：搜索、业务分类tab、推荐</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我听：下载、收藏、已购、历史</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在听：分享、喜欢与评论、下载收藏订阅、打赏、弹幕、详情</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发现：热搜、直播间广播剧等冗余的业务入口、活动专题、新闻站、兑换码、其他</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我的：个人中心、我的音频、关注与粉丝、各种设置、商城</w:t>
      </w:r>
    </w:p>
    <w:p>
      <w:pPr>
        <w:spacing w:before="0" w:after="270" w:line="360" w:lineRule="auto"/>
        <w:ind/>
        <w:jc w:val="left"/>
        <w:rPr>
          <w:rFonts w:ascii="宋体" w:hAnsi="宋体" w:eastAsia="宋体"/>
          <w:b w:val="true"/>
          <w:bCs w:val="true"/>
          <w:color w:val="000000"/>
          <w:sz w:val="24"/>
          <w:szCs w:val="24"/>
          <w:shd w:val="clear" w:fill="FFFFFF"/>
        </w:rPr>
      </w:pPr>
      <w:r>
        <w:rPr>
          <w:rFonts w:ascii="微软雅黑" w:hAnsi="微软雅黑" w:eastAsia="微软雅黑"/>
          <w:color w:val="000000"/>
          <w:sz w:val="21"/>
          <w:szCs w:val="21"/>
        </w:rPr>
        <w:drawing>
          <wp:inline distT="0" distB="0" distL="0" distR="0">
            <wp:extent cx="3933825" cy="2466975"/>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4"/>
                    <a:stretch>
                      <a:fillRect/>
                    </a:stretch>
                  </pic:blipFill>
                  <pic:spPr>
                    <a:xfrm>
                      <a:off x="0" y="0"/>
                      <a:ext cx="3933825" cy="2466975"/>
                    </a:xfrm>
                    <a:prstGeom prst="rect">
                      <a:avLst/>
                    </a:prstGeom>
                  </pic:spPr>
                </pic:pic>
              </a:graphicData>
            </a:graphic>
          </wp:inline>
        </w:drawing>
      </w:r>
      <w:r>
        <w:rPr>
          <w:rFonts w:ascii="宋体" w:hAnsi="宋体" w:eastAsia="宋体"/>
          <w:b w:val="true"/>
          <w:bCs w:val="true"/>
          <w:color w:val="000000"/>
          <w:sz w:val="24"/>
          <w:szCs w:val="24"/>
          <w:shd w:val="clear" w:fill="FFFFFF"/>
        </w:rPr>
        <w:t>喜马拉雅FM视觉上：</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主站无KV，扁平化设计，中规中矩偏清新，符合大部分主流娱乐应用的视觉风格，对各种属性的用户群体相对友好。</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图文排版为主，封面图片贴合内容且封面标题醒目，大部分为官图、官方海报。用户可以更加精准进入详情页，减少一部分“试错”带来的成本。可能是因为内容本身多为官方热度较高的资源，排版上并未回显内容热度。</w:t>
      </w:r>
    </w:p>
    <w:p>
      <w:pPr>
        <w:spacing w:before="0" w:after="270" w:line="360" w:lineRule="auto"/>
        <w:ind/>
        <w:jc w:val="left"/>
        <w:rPr>
          <w:rFonts w:ascii="宋体" w:hAnsi="宋体" w:eastAsia="宋体"/>
          <w:b w:val="true"/>
          <w:bCs w:val="true"/>
          <w:color w:val="000000"/>
          <w:sz w:val="24"/>
          <w:szCs w:val="24"/>
          <w:shd w:val="clear" w:fill="FFFFFF"/>
        </w:rPr>
      </w:pPr>
      <w:r>
        <w:rPr>
          <w:rFonts w:ascii="宋体" w:hAnsi="宋体" w:eastAsia="宋体"/>
          <w:b w:val="true"/>
          <w:bCs w:val="true"/>
          <w:color w:val="000000"/>
          <w:sz w:val="24"/>
          <w:szCs w:val="24"/>
          <w:shd w:val="clear" w:fill="FFFFFF"/>
        </w:rPr>
        <w:t>喜马拉雅FM内容上：</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作为一款偏重内容的工具类产品，喜马拉雅不断丰富音频库的容量、音频相关信息的完整度、音频音质及鼓励用户创作音频内容。内容多元，覆盖到各更为广阔的用户群体，满足不同用户的需求，海量的音频内容积累了大量活跃用户。PGC+UGC的内容生产策略，用PGC与引进、扶持的优质UGC主播来满足主流需求，其余散养的UGC满足长尾需求。这样的方式喜马拉雅FM成为音频创作者最集中、最活跃的平台。</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在产品层面中主要通过两种方式完成内容的组织与分发:直接找到目标内容(搜索、个性化推荐、排行榜、订阅等)、借助UGC内容间接找到音频内容(音频专辑推荐与搜索、对关注的朋友、主播</w:t>
      </w:r>
      <w:r>
        <w:rPr>
          <w:rFonts w:ascii="微软雅黑" w:hAnsi="微软雅黑" w:eastAsia="微软雅黑"/>
          <w:color w:val="000000"/>
          <w:sz w:val="24"/>
          <w:szCs w:val="24"/>
          <w:shd w:val="clear" w:fill="FFFFFF"/>
        </w:rPr>
        <w:t>⻚</w:t>
      </w:r>
      <w:r>
        <w:rPr>
          <w:rFonts w:ascii="宋体" w:hAnsi="宋体" w:eastAsia="宋体"/>
          <w:color w:val="000000"/>
          <w:sz w:val="24"/>
          <w:szCs w:val="24"/>
          <w:shd w:val="clear" w:fill="FFFFFF"/>
        </w:rPr>
        <w:t>面的动态的获知)。</w:t>
      </w:r>
    </w:p>
    <w:p>
      <w:pPr>
        <w:spacing w:before="0" w:after="270" w:line="360" w:lineRule="auto"/>
        <w:ind/>
        <w:jc w:val="left"/>
        <w:rPr>
          <w:rFonts w:ascii="宋体" w:hAnsi="宋体" w:eastAsia="宋体"/>
          <w:b w:val="true"/>
          <w:bCs w:val="true"/>
          <w:color w:val="000000"/>
          <w:sz w:val="24"/>
          <w:szCs w:val="24"/>
          <w:shd w:val="clear" w:fill="FFFFFF"/>
        </w:rPr>
      </w:pPr>
      <w:r>
        <w:rPr>
          <w:rFonts w:ascii="宋体" w:hAnsi="宋体" w:eastAsia="宋体"/>
          <w:b w:val="true"/>
          <w:bCs w:val="true"/>
          <w:color w:val="000000"/>
          <w:sz w:val="24"/>
          <w:szCs w:val="24"/>
          <w:shd w:val="clear" w:fill="FFFFFF"/>
        </w:rPr>
        <w:t>喜马拉雅FM功能上：</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比较直观的功能与内容表现，学习成本较低，为散户UGC内容提供了创作的平台，形成了“创作者-平台-消费者”之间较为健康的生态。【首页】【我听】【在听】【发现】【我的】</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首页：搜索、业务分类tab、推荐、热搜榜</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我听：追更、订阅、历史、下载、推荐</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在听：分享、喜欢与评论、下载收藏订阅、打赏、弹幕、详情</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发现：关注、广场、趣配音、视频</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我的：个人中心、我的音频、关注与粉丝、各种设置、商城</w:t>
      </w:r>
    </w:p>
    <w:p>
      <w:pPr>
        <w:spacing w:before="60" w:after="60" w:line="360" w:lineRule="auto"/>
        <w:ind/>
        <w:jc w:val="left"/>
        <w:rPr>
          <w:rFonts w:ascii="宋体" w:hAnsi="宋体" w:eastAsia="宋体"/>
          <w:color w:val="000000"/>
          <w:sz w:val="22"/>
          <w:szCs w:val="22"/>
        </w:rPr>
      </w:pPr>
      <w:r>
        <w:rPr>
          <w:rFonts w:ascii="微软雅黑" w:hAnsi="微软雅黑" w:eastAsia="微软雅黑"/>
          <w:color w:val="000000"/>
          <w:sz w:val="21"/>
          <w:szCs w:val="21"/>
        </w:rPr>
        <w:drawing>
          <wp:inline distT="0" distB="0" distL="0" distR="0">
            <wp:extent cx="3933825" cy="2466975"/>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5"/>
                    <a:stretch>
                      <a:fillRect/>
                    </a:stretch>
                  </pic:blipFill>
                  <pic:spPr>
                    <a:xfrm>
                      <a:off x="0" y="0"/>
                      <a:ext cx="3933825" cy="2466975"/>
                    </a:xfrm>
                    <a:prstGeom prst="rect">
                      <a:avLst/>
                    </a:prstGeom>
                  </pic:spPr>
                </pic:pic>
              </a:graphicData>
            </a:graphic>
          </wp:inline>
        </w:drawing>
      </w:r>
    </w:p>
    <w:p>
      <w:pPr>
        <w:pStyle w:val="heading2"/>
        <w:spacing w:line="360" w:lineRule="auto"/>
        <w:ind/>
        <w:jc w:val="left"/>
        <w:rPr>
          <w:rFonts w:ascii="宋体" w:hAnsi="宋体" w:eastAsia="宋体"/>
          <w:b w:val="true"/>
          <w:bCs w:val="true"/>
          <w:color w:val="1A1A1A"/>
          <w:sz w:val="32"/>
          <w:szCs w:val="32"/>
        </w:rPr>
      </w:pPr>
      <w:r>
        <w:rPr>
          <w:rFonts w:ascii="宋体" w:hAnsi="宋体" w:eastAsia="宋体"/>
          <w:b w:val="true"/>
          <w:bCs w:val="true"/>
          <w:color w:val="1A1A1A"/>
          <w:sz w:val="32"/>
          <w:szCs w:val="32"/>
        </w:rPr>
        <w:t>4.8 商业运营对比</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M站</w:t>
      </w:r>
      <w:r>
        <w:rPr>
          <w:rFonts w:ascii="宋体" w:hAnsi="宋体" w:eastAsia="宋体"/>
          <w:color w:val="000000"/>
          <w:sz w:val="24"/>
          <w:szCs w:val="24"/>
          <w:shd w:val="clear" w:fill="FFFFFF"/>
        </w:rPr>
        <w:t>：</w:t>
      </w:r>
      <w:r>
        <w:rPr>
          <w:rFonts w:ascii="宋体" w:hAnsi="宋体" w:eastAsia="宋体"/>
          <w:color w:val="000000"/>
          <w:sz w:val="24"/>
          <w:szCs w:val="24"/>
          <w:shd w:val="clear" w:fill="FFFFFF"/>
        </w:rPr>
        <w:t>CV引流</w:t>
      </w:r>
      <w:r>
        <w:rPr>
          <w:rFonts w:ascii="宋体" w:hAnsi="宋体" w:eastAsia="宋体"/>
          <w:color w:val="000000"/>
          <w:sz w:val="24"/>
          <w:szCs w:val="24"/>
          <w:shd w:val="clear" w:fill="FFFFFF"/>
        </w:rPr>
        <w:t>、</w:t>
      </w:r>
      <w:r>
        <w:rPr>
          <w:rFonts w:ascii="宋体" w:hAnsi="宋体" w:eastAsia="宋体"/>
          <w:color w:val="000000"/>
          <w:sz w:val="24"/>
          <w:szCs w:val="24"/>
          <w:shd w:val="clear" w:fill="FFFFFF"/>
        </w:rPr>
        <w:t>CV专访</w:t>
      </w:r>
      <w:r>
        <w:rPr>
          <w:rFonts w:ascii="宋体" w:hAnsi="宋体" w:eastAsia="宋体"/>
          <w:color w:val="000000"/>
          <w:sz w:val="24"/>
          <w:szCs w:val="24"/>
          <w:shd w:val="clear" w:fill="FFFFFF"/>
        </w:rPr>
        <w:t>、</w:t>
      </w:r>
      <w:r>
        <w:rPr>
          <w:rFonts w:ascii="宋体" w:hAnsi="宋体" w:eastAsia="宋体"/>
          <w:color w:val="000000"/>
          <w:sz w:val="24"/>
          <w:szCs w:val="24"/>
          <w:shd w:val="clear" w:fill="FFFFFF"/>
        </w:rPr>
        <w:t>广播剧线下见面会</w:t>
      </w:r>
      <w:r>
        <w:rPr>
          <w:rFonts w:ascii="宋体" w:hAnsi="宋体" w:eastAsia="宋体"/>
          <w:color w:val="000000"/>
          <w:sz w:val="24"/>
          <w:szCs w:val="24"/>
          <w:shd w:val="clear" w:fill="FFFFFF"/>
        </w:rPr>
        <w:t>、</w:t>
      </w:r>
      <w:r>
        <w:rPr>
          <w:rFonts w:ascii="宋体" w:hAnsi="宋体" w:eastAsia="宋体"/>
          <w:color w:val="000000"/>
          <w:sz w:val="24"/>
          <w:szCs w:val="24"/>
          <w:shd w:val="clear" w:fill="FFFFFF"/>
        </w:rPr>
        <w:t>销售广播剧独家周边</w:t>
      </w:r>
      <w:r>
        <w:rPr>
          <w:rFonts w:ascii="宋体" w:hAnsi="宋体" w:eastAsia="宋体"/>
          <w:color w:val="000000"/>
          <w:sz w:val="24"/>
          <w:szCs w:val="24"/>
          <w:shd w:val="clear" w:fill="FFFFFF"/>
        </w:rPr>
        <w:t>、</w:t>
      </w:r>
      <w:r>
        <w:rPr>
          <w:rFonts w:ascii="宋体" w:hAnsi="宋体" w:eastAsia="宋体"/>
          <w:color w:val="000000"/>
          <w:sz w:val="24"/>
          <w:szCs w:val="24"/>
          <w:shd w:val="clear" w:fill="FFFFFF"/>
        </w:rPr>
        <w:t>线下主题店</w:t>
      </w:r>
      <w:r>
        <w:rPr>
          <w:rFonts w:ascii="宋体" w:hAnsi="宋体" w:eastAsia="宋体"/>
          <w:color w:val="000000"/>
          <w:sz w:val="24"/>
          <w:szCs w:val="24"/>
          <w:shd w:val="clear" w:fill="FFFFFF"/>
        </w:rPr>
        <w:t>、</w:t>
      </w:r>
      <w:r>
        <w:rPr>
          <w:rFonts w:ascii="宋体" w:hAnsi="宋体" w:eastAsia="宋体"/>
          <w:color w:val="000000"/>
          <w:sz w:val="24"/>
          <w:szCs w:val="24"/>
          <w:shd w:val="clear" w:fill="FFFFFF"/>
        </w:rPr>
        <w:t>跨界合作</w:t>
      </w:r>
    </w:p>
    <w:p>
      <w:pPr>
        <w:spacing w:before="0" w:after="270" w:line="360" w:lineRule="auto"/>
        <w:ind/>
        <w:jc w:val="left"/>
        <w:rPr>
          <w:rFonts w:ascii="宋体" w:hAnsi="宋体" w:eastAsia="宋体"/>
          <w:color w:val="000000"/>
          <w:sz w:val="24"/>
          <w:szCs w:val="24"/>
          <w:shd w:val="clear" w:fill="FFFFFF"/>
        </w:rPr>
      </w:pPr>
      <w:r>
        <w:rPr>
          <w:rFonts w:ascii="宋体" w:hAnsi="宋体" w:eastAsia="宋体"/>
          <w:color w:val="000000"/>
          <w:sz w:val="24"/>
          <w:szCs w:val="24"/>
          <w:shd w:val="clear" w:fill="FFFFFF"/>
        </w:rPr>
        <w:t>喜马拉雅</w:t>
      </w:r>
      <w:r>
        <w:rPr>
          <w:rFonts w:ascii="宋体" w:hAnsi="宋体" w:eastAsia="宋体"/>
          <w:color w:val="000000"/>
          <w:sz w:val="24"/>
          <w:szCs w:val="24"/>
          <w:shd w:val="clear" w:fill="FFFFFF"/>
        </w:rPr>
        <w:t>：</w:t>
      </w:r>
      <w:r>
        <w:rPr>
          <w:rFonts w:ascii="宋体" w:hAnsi="宋体" w:eastAsia="宋体"/>
          <w:color w:val="000000"/>
          <w:sz w:val="24"/>
          <w:szCs w:val="24"/>
          <w:shd w:val="clear" w:fill="FFFFFF"/>
        </w:rPr>
        <w:t>鼓励创作，重视版权</w:t>
      </w:r>
      <w:r>
        <w:rPr>
          <w:rFonts w:ascii="宋体" w:hAnsi="宋体" w:eastAsia="宋体"/>
          <w:color w:val="000000"/>
          <w:sz w:val="24"/>
          <w:szCs w:val="24"/>
          <w:shd w:val="clear" w:fill="FFFFFF"/>
        </w:rPr>
        <w:t>；</w:t>
      </w:r>
      <w:r>
        <w:rPr>
          <w:rFonts w:ascii="宋体" w:hAnsi="宋体" w:eastAsia="宋体"/>
          <w:color w:val="000000"/>
          <w:sz w:val="24"/>
          <w:szCs w:val="24"/>
          <w:shd w:val="clear" w:fill="FFFFFF"/>
        </w:rPr>
        <w:t>新意活动层出不穷</w:t>
      </w:r>
      <w:r>
        <w:rPr>
          <w:rFonts w:ascii="宋体" w:hAnsi="宋体" w:eastAsia="宋体"/>
          <w:color w:val="000000"/>
          <w:sz w:val="24"/>
          <w:szCs w:val="24"/>
          <w:shd w:val="clear" w:fill="FFFFFF"/>
        </w:rPr>
        <w:t>，</w:t>
      </w:r>
      <w:r>
        <w:rPr>
          <w:rFonts w:ascii="宋体" w:hAnsi="宋体" w:eastAsia="宋体"/>
          <w:color w:val="000000"/>
          <w:sz w:val="24"/>
          <w:szCs w:val="24"/>
          <w:shd w:val="clear" w:fill="FFFFFF"/>
        </w:rPr>
        <w:t>无论是与各大热门综艺的直播投票活动，平台在知识付费领域首创的123知识狂欢节，还是线上、线下不断开展的跨界营销，都有较好的反馈，甚至有多次带来新闻媒体及搜索平台热议。不定时举办针对不同年龄层的平台主播招募，一方面鼓励全民创作和分享，另一方面吸引某年龄段及某些领域的用户们，持续推动原创音频生成，也更加凸显喜马拉雅全民创作的基调</w:t>
      </w:r>
      <w:r>
        <w:rPr>
          <w:rFonts w:ascii="宋体" w:hAnsi="宋体" w:eastAsia="宋体"/>
          <w:color w:val="000000"/>
          <w:sz w:val="24"/>
          <w:szCs w:val="24"/>
          <w:shd w:val="clear" w:fill="FFFFFF"/>
        </w:rPr>
        <w:t>；</w:t>
      </w:r>
      <w:r>
        <w:rPr>
          <w:rFonts w:ascii="宋体" w:hAnsi="宋体" w:eastAsia="宋体"/>
          <w:color w:val="000000"/>
          <w:sz w:val="24"/>
          <w:szCs w:val="24"/>
          <w:shd w:val="clear" w:fill="FFFFFF"/>
        </w:rPr>
        <w:t>在喜马拉雅平台上，我们经常可以听到合作平台作者有声作品和原创音频制作人及主播的优质音频节目，喜马拉雅给予他们部分流量，增加曝光率。优质的音频节目被听众逐渐认可，最终平台出现各类头部内容生产者，头部内容生产者又再次带来用户，形成良性循环。另外，喜马拉雅充分发挥用户分享、自创听友圈动态、主播互动交友、粉丝团等，认识有共同喜好的人，加好友又可以通过动态了解新境况和分享。这两个体系的叠加，使得喜马拉雅平台用户有围绕感兴趣音频内容进行自由讨论和创作的空间。</w:t>
      </w:r>
    </w:p>
    <w:p>
      <w:pPr>
        <w:spacing w:before="0" w:after="270" w:line="360" w:lineRule="auto"/>
        <w:ind/>
        <w:jc w:val="left"/>
        <w:rPr>
          <w:rFonts w:ascii="宋体" w:hAnsi="宋体" w:eastAsia="宋体"/>
          <w:color w:val="000000"/>
          <w:sz w:val="22"/>
          <w:szCs w:val="22"/>
        </w:rPr>
      </w:pPr>
      <w:r>
        <w:rPr>
          <w:rFonts w:ascii="宋体" w:hAnsi="宋体" w:eastAsia="宋体"/>
          <w:color w:val="000000"/>
          <w:sz w:val="22"/>
          <w:szCs w:val="22"/>
        </w:rPr>
      </w:r>
    </w:p>
    <w:p>
      <w:pPr>
        <w:spacing w:before="60" w:after="60" w:line="360" w:lineRule="auto"/>
        <w:ind/>
        <w:jc w:val="left"/>
        <w:rPr>
          <w:rFonts w:ascii="宋体" w:hAnsi="宋体" w:eastAsia="宋体"/>
          <w:color w:val="000000"/>
          <w:sz w:val="22"/>
          <w:szCs w:val="22"/>
        </w:rPr>
      </w:pPr>
      <w:r>
        <w:rPr>
          <w:rFonts w:ascii="宋体" w:hAnsi="宋体" w:eastAsia="宋体"/>
          <w:color w:val="000000"/>
          <w:sz w:val="22"/>
          <w:szCs w:val="22"/>
        </w:rPr>
      </w:r>
    </w:p>
    <w:p>
      <w:pPr>
        <w:spacing w:before="60" w:after="60" w:line="360" w:lineRule="auto"/>
        <w:ind w:leftChars="160"/>
        <w:jc w:val="left"/>
        <w:rPr>
          <w:rFonts w:ascii="宋体" w:hAnsi="宋体" w:eastAsia="宋体"/>
          <w:color w:val="000000"/>
          <w:sz w:val="22"/>
          <w:szCs w:val="22"/>
        </w:rPr>
      </w:pPr>
      <w:r>
        <w:rPr>
          <w:rFonts w:ascii="宋体" w:hAnsi="宋体" w:eastAsia="宋体"/>
          <w:color w:val="000000"/>
          <w:sz w:val="22"/>
          <w:szCs w:val="22"/>
        </w:rPr>
      </w:r>
    </w:p>
    <w:sectPr w:rsidR="00C604EC">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decimal"/>
      <w:lvlText w:val=""/>
      <w:lvlJc w:val="left"/>
      <w:pPr>
        <w:ind w:left="3780" w:hanging="420"/>
      </w:pPr>
      <w:rPr>
        <w:rFonts w:hint="default" w:ascii="宋体" w:hAnsi="宋体" w:eastAsia="宋体"/>
        <w:bCs/>
      </w:rPr>
    </w:lvl>
  </w:abstractNum>
  <w:abstractNum w:abstractNumId="34">
    <w:multiLevelType w:val="multilevel"/>
    <w:lvl w:ilvl="0" w:tentative="false">
      <w:start w:val="1"/>
      <w:numFmt w:val="decimal"/>
      <w:lvlText w:val="%1."/>
      <w:lvlJc w:val="left"/>
      <w:pPr>
        <w:ind w:left="420" w:hanging="420"/>
      </w:pPr>
      <w:rPr>
        <w:rFonts w:hint="default" w:ascii="宋体" w:hAnsi="宋体" w:eastAsia="宋体"/>
        <w:bCs/>
      </w:rPr>
    </w:lvl>
    <w:lvl w:ilvl="1" w:tentative="false">
      <w:start w:val="1"/>
      <w:numFmt w:val="lowerLetter"/>
      <w:lvlText w:val="%2."/>
      <w:lvlJc w:val="left"/>
      <w:pPr>
        <w:ind w:left="840" w:hanging="420"/>
      </w:pPr>
      <w:rPr>
        <w:rFonts w:hint="default" w:ascii="宋体" w:hAnsi="宋体" w:eastAsia="宋体"/>
        <w:bCs/>
      </w:rPr>
    </w:lvl>
    <w:lvl w:ilvl="2" w:tentative="false">
      <w:start w:val="1"/>
      <w:numFmt w:val="lowerRoman"/>
      <w:lvlText w:val="%3."/>
      <w:lvlJc w:val="left"/>
      <w:pPr>
        <w:ind w:left="1260" w:hanging="420"/>
      </w:pPr>
      <w:rPr>
        <w:rFonts w:hint="default" w:ascii="宋体" w:hAnsi="宋体" w:eastAsia="宋体"/>
        <w:bCs/>
      </w:rPr>
    </w:lvl>
    <w:lvl w:ilvl="3" w:tentative="false">
      <w:start w:val="1"/>
      <w:numFmt w:val="decimal"/>
      <w:lvlText w:val="%4."/>
      <w:lvlJc w:val="left"/>
      <w:pPr>
        <w:ind w:left="1680" w:hanging="420"/>
      </w:pPr>
      <w:rPr>
        <w:rFonts w:hint="default" w:ascii="宋体" w:hAnsi="宋体" w:eastAsia="宋体"/>
        <w:bCs/>
      </w:rPr>
    </w:lvl>
    <w:lvl w:ilvl="4" w:tentative="false">
      <w:start w:val="1"/>
      <w:numFmt w:val="lowerLetter"/>
      <w:lvlText w:val="%5."/>
      <w:lvlJc w:val="left"/>
      <w:pPr>
        <w:ind w:left="2100" w:hanging="420"/>
      </w:pPr>
      <w:rPr>
        <w:rFonts w:hint="default" w:ascii="宋体" w:hAnsi="宋体" w:eastAsia="宋体"/>
        <w:bCs/>
      </w:rPr>
    </w:lvl>
    <w:lvl w:ilvl="5" w:tentative="false">
      <w:start w:val="1"/>
      <w:numFmt w:val="lowerRoman"/>
      <w:lvlText w:val="%6."/>
      <w:lvlJc w:val="left"/>
      <w:pPr>
        <w:ind w:left="2520" w:hanging="420"/>
      </w:pPr>
      <w:rPr>
        <w:rFonts w:hint="default" w:ascii="宋体" w:hAnsi="宋体" w:eastAsia="宋体"/>
        <w:bCs/>
      </w:rPr>
    </w:lvl>
    <w:lvl w:ilvl="6" w:tentative="false">
      <w:start w:val="1"/>
      <w:numFmt w:val="decimal"/>
      <w:lvlText w:val="%7."/>
      <w:lvlJc w:val="left"/>
      <w:pPr>
        <w:ind w:left="2940" w:hanging="420"/>
      </w:pPr>
      <w:rPr>
        <w:rFonts w:hint="default" w:ascii="宋体" w:hAnsi="宋体" w:eastAsia="宋体"/>
        <w:bCs/>
      </w:rPr>
    </w:lvl>
    <w:lvl w:ilvl="7" w:tentative="false">
      <w:start w:val="1"/>
      <w:numFmt w:val="lowerLetter"/>
      <w:lvlText w:val="%8."/>
      <w:lvlJc w:val="left"/>
      <w:pPr>
        <w:ind w:left="3360" w:hanging="420"/>
      </w:pPr>
      <w:rPr>
        <w:rFonts w:hint="default" w:ascii="宋体" w:hAnsi="宋体" w:eastAsia="宋体"/>
        <w:bCs/>
      </w:rPr>
    </w:lvl>
    <w:lvl w:ilvl="8" w:tentative="false">
      <w:start w:val="1"/>
      <w:numFmt w:val="decimal"/>
      <w:lvlText w:val=""/>
      <w:lvlJc w:val="left"/>
      <w:pPr>
        <w:ind w:left="3780" w:hanging="420"/>
      </w:pPr>
      <w:rPr>
        <w:rFonts w:hint="default" w:ascii="宋体" w:hAnsi="宋体" w:eastAsia="宋体"/>
        <w:bCs/>
      </w:rPr>
    </w:lvl>
  </w:abstractNum>
  <w:abstractNum w:abstractNumId="35">
    <w:multiLevelType w:val="multilevel"/>
    <w:lvl w:ilvl="0" w:tentative="false">
      <w:start w:val="1"/>
      <w:numFmt w:val="bullet"/>
      <w:lvlText w:val=""/>
      <w:lvlJc w:val="left"/>
      <w:pPr>
        <w:ind w:left="420" w:hanging="420"/>
      </w:pPr>
      <w:rPr>
        <w:rFonts w:hint="default" w:ascii="Wingdings" w:hAnsi="Wingdings" w:eastAsia="Wingdings"/>
        <w:bCs/>
        <w:sz w:val="20"/>
        <w:szCs w:val="20"/>
      </w:rPr>
    </w:lvl>
    <w:lvl w:ilvl="1" w:tentative="false">
      <w:start w:val="1"/>
      <w:numFmt w:val="bullet"/>
      <w:lvlText w:val=""/>
      <w:lvlJc w:val="left"/>
      <w:pPr>
        <w:ind w:left="840" w:hanging="420"/>
      </w:pPr>
      <w:rPr>
        <w:rFonts w:hint="default" w:ascii="Wingdings" w:hAnsi="Wingdings" w:eastAsia="Wingdings"/>
        <w:bCs/>
        <w:sz w:val="20"/>
        <w:szCs w:val="20"/>
      </w:rPr>
    </w:lvl>
    <w:lvl w:ilvl="2" w:tentative="false">
      <w:start w:val="1"/>
      <w:numFmt w:val="bullet"/>
      <w:lvlText w:val=""/>
      <w:lvlJc w:val="left"/>
      <w:pPr>
        <w:ind w:left="1260" w:hanging="420"/>
      </w:pPr>
      <w:rPr>
        <w:rFonts w:hint="default" w:ascii="Wingdings" w:hAnsi="Wingdings" w:eastAsia="Wingdings"/>
        <w:bCs/>
        <w:sz w:val="20"/>
        <w:szCs w:val="20"/>
      </w:rPr>
    </w:lvl>
    <w:lvl w:ilvl="3" w:tentative="false">
      <w:start w:val="1"/>
      <w:numFmt w:val="bullet"/>
      <w:lvlText w:val=""/>
      <w:lvlJc w:val="left"/>
      <w:pPr>
        <w:ind w:left="1680" w:hanging="420"/>
      </w:pPr>
      <w:rPr>
        <w:rFonts w:hint="default" w:ascii="Wingdings" w:hAnsi="Wingdings" w:eastAsia="Wingdings"/>
        <w:bCs/>
        <w:sz w:val="20"/>
        <w:szCs w:val="20"/>
      </w:rPr>
    </w:lvl>
    <w:lvl w:ilvl="4" w:tentative="false">
      <w:start w:val="1"/>
      <w:numFmt w:val="bullet"/>
      <w:lvlText w:val=""/>
      <w:lvlJc w:val="left"/>
      <w:pPr>
        <w:ind w:left="2100" w:hanging="420"/>
      </w:pPr>
      <w:rPr>
        <w:rFonts w:hint="default" w:ascii="Wingdings" w:hAnsi="Wingdings" w:eastAsia="Wingdings"/>
        <w:bCs/>
        <w:sz w:val="20"/>
        <w:szCs w:val="20"/>
      </w:rPr>
    </w:lvl>
    <w:lvl w:ilvl="5" w:tentative="false">
      <w:start w:val="1"/>
      <w:numFmt w:val="bullet"/>
      <w:lvlText w:val=""/>
      <w:lvlJc w:val="left"/>
      <w:pPr>
        <w:ind w:left="2520" w:hanging="420"/>
      </w:pPr>
      <w:rPr>
        <w:rFonts w:hint="default" w:ascii="Wingdings" w:hAnsi="Wingdings" w:eastAsia="Wingdings"/>
        <w:bCs/>
        <w:sz w:val="20"/>
        <w:szCs w:val="20"/>
      </w:rPr>
    </w:lvl>
    <w:lvl w:ilvl="6" w:tentative="false">
      <w:start w:val="1"/>
      <w:numFmt w:val="bullet"/>
      <w:lvlText w:val=""/>
      <w:lvlJc w:val="left"/>
      <w:pPr>
        <w:ind w:left="2940" w:hanging="420"/>
      </w:pPr>
      <w:rPr>
        <w:rFonts w:hint="default" w:ascii="Wingdings" w:hAnsi="Wingdings" w:eastAsia="Wingdings"/>
        <w:bCs/>
        <w:sz w:val="20"/>
        <w:szCs w:val="20"/>
      </w:rPr>
    </w:lvl>
    <w:lvl w:ilvl="7" w:tentative="false">
      <w:start w:val="1"/>
      <w:numFmt w:val="bullet"/>
      <w:lvlText w:val=""/>
      <w:lvlJc w:val="left"/>
      <w:pPr>
        <w:ind w:left="3360" w:hanging="420"/>
      </w:pPr>
      <w:rPr>
        <w:rFonts w:hint="default" w:ascii="Wingdings" w:hAnsi="Wingdings" w:eastAsia="Wingdings"/>
        <w:bCs/>
        <w:sz w:val="20"/>
        <w:szCs w:val="20"/>
      </w:rPr>
    </w:lvl>
    <w:lvl w:ilvl="8" w:tentative="false">
      <w:start w:val="1"/>
      <w:numFmt w:val="bullet"/>
      <w:lvlText w:val=""/>
      <w:lvlJc w:val="left"/>
      <w:pPr>
        <w:ind w:left="3780" w:hanging="420"/>
      </w:pPr>
      <w:rPr>
        <w:rFonts w:hint="default" w:ascii="Wingdings" w:hAnsi="Wingdings" w:eastAsia="Wingdings"/>
        <w:bCs/>
        <w:sz w:val="20"/>
        <w:szCs w:val="20"/>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t1">
    <w:name w:val="Title"/>
    <w:basedOn w:val="a"/>
    <w:next w:val="a"/>
    <w:uiPriority w:val="10"/>
    <w:qFormat/>
    <w:rsid w:val="001C768A"/>
    <w:pPr>
      <w:spacing w:before="240" w:after="60" w:line="312" w:lineRule="auto"/>
      <w:jc w:val="center"/>
      <w:outlineLvl w:val="0"/>
    </w:pPr>
    <w:rPr>
      <w:rFonts w:asciiTheme="majorHAnsi" w:hAnsiTheme="majorHAnsi" w:eastAsiaTheme="majorEastAsia" w:cstheme="majorBidi"/>
      <w:b/>
      <w:bCs/>
      <w:color/>
      <w:sz w:val="32"/>
      <w:szCs w:val="32"/>
    </w:rPr>
  </w:style>
  <w:style w:type="paragraph" w:styleId="heading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heading2">
    <w:name w:val="heading 2"/>
    <w:basedOn w:val="a"/>
    <w:next w:val="a"/>
    <w:uiPriority w:val="9"/>
    <w:unhideWhenUsed/>
    <w:qFormat/>
    <w:rsid w:val="001C768A"/>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heading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jpe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jpe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Microsoft Office Word</properties:Application>
  <properties:AppVersion>16.0000</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