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7044" w14:textId="56F40360" w:rsidR="5ED733AE" w:rsidRDefault="5ED733AE" w:rsidP="5ED733AE">
      <w:pPr>
        <w:jc w:val="center"/>
        <w:rPr>
          <w:rFonts w:ascii="Times New Roman" w:eastAsia="Times New Roman" w:hAnsi="Times New Roman" w:cs="Times New Roman"/>
          <w:b/>
          <w:bCs/>
          <w:sz w:val="36"/>
          <w:szCs w:val="36"/>
        </w:rPr>
      </w:pPr>
    </w:p>
    <w:p w14:paraId="585EC24A" w14:textId="661762B4" w:rsidR="5ED733AE" w:rsidRDefault="5ED733AE" w:rsidP="5ED733AE">
      <w:pPr>
        <w:jc w:val="center"/>
        <w:rPr>
          <w:rFonts w:ascii="Times New Roman" w:eastAsia="Times New Roman" w:hAnsi="Times New Roman" w:cs="Times New Roman"/>
          <w:b/>
          <w:bCs/>
          <w:sz w:val="36"/>
          <w:szCs w:val="36"/>
        </w:rPr>
      </w:pPr>
    </w:p>
    <w:p w14:paraId="1D15030D" w14:textId="72C19B6F" w:rsidR="5ED733AE" w:rsidRDefault="5ED733AE" w:rsidP="5ED733AE">
      <w:pPr>
        <w:jc w:val="center"/>
        <w:rPr>
          <w:rFonts w:ascii="Times New Roman" w:eastAsia="Times New Roman" w:hAnsi="Times New Roman" w:cs="Times New Roman"/>
          <w:b/>
          <w:bCs/>
          <w:sz w:val="36"/>
          <w:szCs w:val="36"/>
        </w:rPr>
      </w:pPr>
    </w:p>
    <w:p w14:paraId="7D6969A1" w14:textId="77777777" w:rsidR="00545699" w:rsidRPr="00545699" w:rsidRDefault="0C4AF1CA" w:rsidP="5ED733AE">
      <w:pPr>
        <w:jc w:val="center"/>
        <w:rPr>
          <w:rFonts w:ascii="Times New Roman" w:eastAsia="Times New Roman" w:hAnsi="Times New Roman" w:cs="Times New Roman"/>
          <w:b/>
          <w:bCs/>
          <w:sz w:val="36"/>
          <w:szCs w:val="36"/>
        </w:rPr>
      </w:pPr>
      <w:commentRangeStart w:id="0"/>
      <w:r w:rsidRPr="5ED733AE">
        <w:rPr>
          <w:rFonts w:ascii="Times New Roman" w:eastAsia="Times New Roman" w:hAnsi="Times New Roman" w:cs="Times New Roman"/>
          <w:b/>
          <w:bCs/>
          <w:sz w:val="36"/>
          <w:szCs w:val="36"/>
        </w:rPr>
        <w:t>Coarse-to-Fine Personalized LLM Impressions for Streamlined Radiology Reports</w:t>
      </w:r>
      <w:commentRangeEnd w:id="0"/>
      <w:r w:rsidR="00545699">
        <w:commentReference w:id="0"/>
      </w:r>
    </w:p>
    <w:p w14:paraId="55BF28AB" w14:textId="2ACD3B09" w:rsidR="06363B63" w:rsidRDefault="535F4B4F" w:rsidP="5ED733AE">
      <w:pPr>
        <w:jc w:val="center"/>
        <w:rPr>
          <w:rFonts w:ascii="Times New Roman" w:eastAsia="Times New Roman" w:hAnsi="Times New Roman" w:cs="Times New Roman"/>
          <w:sz w:val="24"/>
          <w:szCs w:val="24"/>
        </w:rPr>
      </w:pPr>
      <w:r w:rsidRPr="5ED733AE">
        <w:rPr>
          <w:rFonts w:ascii="Times New Roman" w:eastAsia="Times New Roman" w:hAnsi="Times New Roman" w:cs="Times New Roman"/>
          <w:sz w:val="24"/>
          <w:szCs w:val="24"/>
        </w:rPr>
        <w:t>By</w:t>
      </w:r>
    </w:p>
    <w:p w14:paraId="01B0907B" w14:textId="7A7C8FD0" w:rsidR="06363B63" w:rsidRDefault="535F4B4F" w:rsidP="5ED733AE">
      <w:pPr>
        <w:jc w:val="center"/>
        <w:rPr>
          <w:rFonts w:ascii="Times New Roman" w:eastAsia="Times New Roman" w:hAnsi="Times New Roman" w:cs="Times New Roman"/>
          <w:sz w:val="24"/>
          <w:szCs w:val="24"/>
        </w:rPr>
      </w:pPr>
      <w:r w:rsidRPr="5ED733AE">
        <w:rPr>
          <w:rFonts w:ascii="Times New Roman" w:eastAsia="Times New Roman" w:hAnsi="Times New Roman" w:cs="Times New Roman"/>
          <w:sz w:val="24"/>
          <w:szCs w:val="24"/>
        </w:rPr>
        <w:t>Steven Sun</w:t>
      </w:r>
    </w:p>
    <w:p w14:paraId="4FCB6945" w14:textId="17F9F39F" w:rsidR="109B82F9" w:rsidRDefault="0D2B5A6B" w:rsidP="5ED733AE">
      <w:pPr>
        <w:jc w:val="center"/>
        <w:rPr>
          <w:rFonts w:ascii="Times New Roman" w:eastAsia="Times New Roman" w:hAnsi="Times New Roman" w:cs="Times New Roman"/>
          <w:sz w:val="24"/>
          <w:szCs w:val="24"/>
        </w:rPr>
      </w:pPr>
      <w:proofErr w:type="spellStart"/>
      <w:r w:rsidRPr="5ED733AE">
        <w:rPr>
          <w:rFonts w:ascii="Times New Roman" w:eastAsia="Times New Roman" w:hAnsi="Times New Roman" w:cs="Times New Roman"/>
          <w:sz w:val="24"/>
          <w:szCs w:val="24"/>
        </w:rPr>
        <w:t>Bimalsen</w:t>
      </w:r>
      <w:proofErr w:type="spellEnd"/>
      <w:r w:rsidRPr="5ED733AE">
        <w:rPr>
          <w:rFonts w:ascii="Times New Roman" w:eastAsia="Times New Roman" w:hAnsi="Times New Roman" w:cs="Times New Roman"/>
          <w:sz w:val="24"/>
          <w:szCs w:val="24"/>
        </w:rPr>
        <w:t xml:space="preserve"> </w:t>
      </w:r>
      <w:proofErr w:type="spellStart"/>
      <w:r w:rsidRPr="5ED733AE">
        <w:rPr>
          <w:rFonts w:ascii="Times New Roman" w:eastAsia="Times New Roman" w:hAnsi="Times New Roman" w:cs="Times New Roman"/>
          <w:sz w:val="24"/>
          <w:szCs w:val="24"/>
        </w:rPr>
        <w:t>Rajbhandari</w:t>
      </w:r>
      <w:proofErr w:type="spellEnd"/>
    </w:p>
    <w:p w14:paraId="68FB33B2" w14:textId="7CD0E353" w:rsidR="06363B63" w:rsidRDefault="535F4B4F" w:rsidP="5ED733AE">
      <w:pPr>
        <w:jc w:val="center"/>
        <w:rPr>
          <w:rFonts w:ascii="Times New Roman" w:eastAsia="Times New Roman" w:hAnsi="Times New Roman" w:cs="Times New Roman"/>
          <w:sz w:val="24"/>
          <w:szCs w:val="24"/>
        </w:rPr>
      </w:pPr>
      <w:proofErr w:type="spellStart"/>
      <w:r w:rsidRPr="5ED733AE">
        <w:rPr>
          <w:rFonts w:ascii="Times New Roman" w:eastAsia="Times New Roman" w:hAnsi="Times New Roman" w:cs="Times New Roman"/>
          <w:sz w:val="24"/>
          <w:szCs w:val="24"/>
        </w:rPr>
        <w:t>Changhao</w:t>
      </w:r>
      <w:proofErr w:type="spellEnd"/>
      <w:r w:rsidRPr="5ED733AE">
        <w:rPr>
          <w:rFonts w:ascii="Times New Roman" w:eastAsia="Times New Roman" w:hAnsi="Times New Roman" w:cs="Times New Roman"/>
          <w:sz w:val="24"/>
          <w:szCs w:val="24"/>
        </w:rPr>
        <w:t xml:space="preserve"> Zhang</w:t>
      </w:r>
    </w:p>
    <w:p w14:paraId="404BB7BA" w14:textId="6ECCBFFC" w:rsidR="06363B63" w:rsidRDefault="535F4B4F" w:rsidP="5ED733AE">
      <w:pPr>
        <w:jc w:val="center"/>
        <w:rPr>
          <w:rFonts w:ascii="Times New Roman" w:eastAsia="Times New Roman" w:hAnsi="Times New Roman" w:cs="Times New Roman"/>
          <w:sz w:val="24"/>
          <w:szCs w:val="24"/>
        </w:rPr>
      </w:pPr>
      <w:r w:rsidRPr="5ED733AE">
        <w:rPr>
          <w:rFonts w:ascii="Times New Roman" w:eastAsia="Times New Roman" w:hAnsi="Times New Roman" w:cs="Times New Roman"/>
          <w:sz w:val="24"/>
          <w:szCs w:val="24"/>
        </w:rPr>
        <w:t>Colleen Jung</w:t>
      </w:r>
    </w:p>
    <w:p w14:paraId="3EF4B2C5" w14:textId="560A1EB7" w:rsidR="06363B63" w:rsidRDefault="535F4B4F" w:rsidP="5ED733AE">
      <w:pPr>
        <w:jc w:val="center"/>
        <w:rPr>
          <w:rFonts w:ascii="Times New Roman" w:eastAsia="Times New Roman" w:hAnsi="Times New Roman" w:cs="Times New Roman"/>
          <w:sz w:val="24"/>
          <w:szCs w:val="24"/>
        </w:rPr>
      </w:pPr>
      <w:r w:rsidRPr="5ED733AE">
        <w:rPr>
          <w:rFonts w:ascii="Times New Roman" w:eastAsia="Times New Roman" w:hAnsi="Times New Roman" w:cs="Times New Roman"/>
          <w:sz w:val="24"/>
          <w:szCs w:val="24"/>
        </w:rPr>
        <w:t xml:space="preserve">Supervisor: </w:t>
      </w:r>
      <w:proofErr w:type="spellStart"/>
      <w:r w:rsidRPr="5ED733AE">
        <w:rPr>
          <w:rFonts w:ascii="Times New Roman" w:eastAsia="Times New Roman" w:hAnsi="Times New Roman" w:cs="Times New Roman"/>
          <w:sz w:val="24"/>
          <w:szCs w:val="24"/>
        </w:rPr>
        <w:t>Utku</w:t>
      </w:r>
      <w:proofErr w:type="spellEnd"/>
      <w:r w:rsidRPr="5ED733AE">
        <w:rPr>
          <w:rFonts w:ascii="Times New Roman" w:eastAsia="Times New Roman" w:hAnsi="Times New Roman" w:cs="Times New Roman"/>
          <w:sz w:val="24"/>
          <w:szCs w:val="24"/>
        </w:rPr>
        <w:t xml:space="preserve"> </w:t>
      </w:r>
      <w:proofErr w:type="spellStart"/>
      <w:r w:rsidRPr="5ED733AE">
        <w:rPr>
          <w:rFonts w:ascii="Times New Roman" w:eastAsia="Times New Roman" w:hAnsi="Times New Roman" w:cs="Times New Roman"/>
          <w:sz w:val="24"/>
          <w:szCs w:val="24"/>
        </w:rPr>
        <w:t>Pamuksuz</w:t>
      </w:r>
      <w:proofErr w:type="spellEnd"/>
      <w:r w:rsidRPr="5ED733AE">
        <w:rPr>
          <w:rFonts w:ascii="Times New Roman" w:eastAsia="Times New Roman" w:hAnsi="Times New Roman" w:cs="Times New Roman"/>
          <w:sz w:val="24"/>
          <w:szCs w:val="24"/>
        </w:rPr>
        <w:t xml:space="preserve"> </w:t>
      </w:r>
    </w:p>
    <w:p w14:paraId="45136CC3" w14:textId="6226DBD5" w:rsidR="0CB902B4" w:rsidRDefault="0CB902B4" w:rsidP="5ED733AE">
      <w:pPr>
        <w:jc w:val="center"/>
        <w:rPr>
          <w:rFonts w:ascii="Times New Roman" w:eastAsia="Times New Roman" w:hAnsi="Times New Roman" w:cs="Times New Roman"/>
          <w:sz w:val="36"/>
          <w:szCs w:val="36"/>
        </w:rPr>
      </w:pPr>
    </w:p>
    <w:p w14:paraId="780128B8" w14:textId="69BBC9AF" w:rsidR="1AB21AD9" w:rsidRDefault="2E6139C5" w:rsidP="5ED733AE">
      <w:pPr>
        <w:jc w:val="center"/>
        <w:rPr>
          <w:rFonts w:ascii="Times New Roman" w:eastAsia="Times New Roman" w:hAnsi="Times New Roman" w:cs="Times New Roman"/>
          <w:sz w:val="28"/>
          <w:szCs w:val="28"/>
        </w:rPr>
      </w:pPr>
      <w:r w:rsidRPr="5ED733AE">
        <w:rPr>
          <w:rFonts w:ascii="Times New Roman" w:eastAsia="Times New Roman" w:hAnsi="Times New Roman" w:cs="Times New Roman"/>
          <w:sz w:val="28"/>
          <w:szCs w:val="28"/>
        </w:rPr>
        <w:t>A Capstone Project</w:t>
      </w:r>
    </w:p>
    <w:p w14:paraId="404DC7A0" w14:textId="458117A2" w:rsidR="1AB21AD9" w:rsidRDefault="2E6139C5" w:rsidP="5ED733AE">
      <w:pPr>
        <w:jc w:val="center"/>
        <w:rPr>
          <w:rFonts w:ascii="Times New Roman" w:eastAsia="Times New Roman" w:hAnsi="Times New Roman" w:cs="Times New Roman"/>
          <w:sz w:val="28"/>
          <w:szCs w:val="28"/>
        </w:rPr>
      </w:pPr>
      <w:r w:rsidRPr="5ED733AE">
        <w:rPr>
          <w:rFonts w:ascii="Times New Roman" w:eastAsia="Times New Roman" w:hAnsi="Times New Roman" w:cs="Times New Roman"/>
          <w:sz w:val="28"/>
          <w:szCs w:val="28"/>
        </w:rPr>
        <w:t>Submitted to the University of Chicago in partial fulfillment of the Requirements for the degree of</w:t>
      </w:r>
    </w:p>
    <w:p w14:paraId="35DEFC8A" w14:textId="4DB219C3" w:rsidR="1AB21AD9" w:rsidRDefault="2E6139C5" w:rsidP="5ED733AE">
      <w:pPr>
        <w:jc w:val="center"/>
        <w:rPr>
          <w:rFonts w:ascii="Times New Roman" w:eastAsia="Times New Roman" w:hAnsi="Times New Roman" w:cs="Times New Roman"/>
          <w:sz w:val="28"/>
          <w:szCs w:val="28"/>
        </w:rPr>
      </w:pPr>
      <w:r w:rsidRPr="5ED733AE">
        <w:rPr>
          <w:rFonts w:ascii="Times New Roman" w:eastAsia="Times New Roman" w:hAnsi="Times New Roman" w:cs="Times New Roman"/>
          <w:sz w:val="28"/>
          <w:szCs w:val="28"/>
        </w:rPr>
        <w:t xml:space="preserve">Master of Science in Applied Data Science </w:t>
      </w:r>
    </w:p>
    <w:p w14:paraId="47104820" w14:textId="4C972852" w:rsidR="0CB902B4" w:rsidRDefault="0CB902B4" w:rsidP="5ED733AE">
      <w:pPr>
        <w:jc w:val="center"/>
        <w:rPr>
          <w:rFonts w:ascii="Times New Roman" w:eastAsia="Times New Roman" w:hAnsi="Times New Roman" w:cs="Times New Roman"/>
          <w:sz w:val="36"/>
          <w:szCs w:val="36"/>
        </w:rPr>
      </w:pPr>
    </w:p>
    <w:p w14:paraId="6C3AFF2A" w14:textId="58CFC5A7" w:rsidR="0CB902B4" w:rsidRDefault="0CB902B4" w:rsidP="5ED733AE">
      <w:pPr>
        <w:jc w:val="center"/>
        <w:rPr>
          <w:rFonts w:ascii="Times New Roman" w:eastAsia="Times New Roman" w:hAnsi="Times New Roman" w:cs="Times New Roman"/>
          <w:sz w:val="36"/>
          <w:szCs w:val="36"/>
        </w:rPr>
      </w:pPr>
    </w:p>
    <w:p w14:paraId="6A5E5C95" w14:textId="14B943DD" w:rsidR="2D61ABE3" w:rsidRDefault="77B2584A" w:rsidP="5ED733AE">
      <w:pPr>
        <w:jc w:val="center"/>
        <w:rPr>
          <w:rFonts w:ascii="Times New Roman" w:eastAsia="Times New Roman" w:hAnsi="Times New Roman" w:cs="Times New Roman"/>
          <w:sz w:val="28"/>
          <w:szCs w:val="28"/>
        </w:rPr>
      </w:pPr>
      <w:r w:rsidRPr="5ED733AE">
        <w:rPr>
          <w:rFonts w:ascii="Times New Roman" w:eastAsia="Times New Roman" w:hAnsi="Times New Roman" w:cs="Times New Roman"/>
          <w:sz w:val="28"/>
          <w:szCs w:val="28"/>
        </w:rPr>
        <w:t>Division of Physical Sciences</w:t>
      </w:r>
    </w:p>
    <w:p w14:paraId="2DAD29F7" w14:textId="1D5139C2" w:rsidR="54EBC8B6" w:rsidRDefault="2037605F" w:rsidP="5ED733AE">
      <w:pPr>
        <w:jc w:val="center"/>
        <w:rPr>
          <w:rFonts w:ascii="Times New Roman" w:eastAsia="Times New Roman" w:hAnsi="Times New Roman" w:cs="Times New Roman"/>
          <w:sz w:val="28"/>
          <w:szCs w:val="28"/>
        </w:rPr>
      </w:pPr>
      <w:r w:rsidRPr="5ED733AE">
        <w:rPr>
          <w:rFonts w:ascii="Times New Roman" w:eastAsia="Times New Roman" w:hAnsi="Times New Roman" w:cs="Times New Roman"/>
          <w:sz w:val="28"/>
          <w:szCs w:val="28"/>
        </w:rPr>
        <w:t>April 2024</w:t>
      </w:r>
    </w:p>
    <w:p w14:paraId="6FBB68B3" w14:textId="0882B043" w:rsidR="5ED733AE" w:rsidRDefault="5ED733AE" w:rsidP="5ED733AE">
      <w:pPr>
        <w:jc w:val="center"/>
        <w:rPr>
          <w:rFonts w:ascii="Times New Roman" w:eastAsia="Times New Roman" w:hAnsi="Times New Roman" w:cs="Times New Roman"/>
          <w:sz w:val="28"/>
          <w:szCs w:val="28"/>
        </w:rPr>
      </w:pPr>
    </w:p>
    <w:p w14:paraId="35D1067C" w14:textId="797EE6B5" w:rsidR="5ED733AE" w:rsidRDefault="5ED733AE" w:rsidP="5ED733AE">
      <w:pPr>
        <w:jc w:val="center"/>
        <w:rPr>
          <w:rFonts w:ascii="Times New Roman" w:eastAsia="Times New Roman" w:hAnsi="Times New Roman" w:cs="Times New Roman"/>
          <w:sz w:val="28"/>
          <w:szCs w:val="28"/>
        </w:rPr>
      </w:pPr>
    </w:p>
    <w:p w14:paraId="49B1C24E" w14:textId="22E42729" w:rsidR="5ED733AE" w:rsidRDefault="5ED733AE" w:rsidP="5ED733AE">
      <w:pPr>
        <w:jc w:val="center"/>
        <w:rPr>
          <w:rFonts w:ascii="Times New Roman" w:eastAsia="Times New Roman" w:hAnsi="Times New Roman" w:cs="Times New Roman"/>
          <w:sz w:val="28"/>
          <w:szCs w:val="28"/>
        </w:rPr>
      </w:pPr>
    </w:p>
    <w:p w14:paraId="3D369DB7" w14:textId="5AB2670F" w:rsidR="5ED733AE" w:rsidRDefault="5ED733AE" w:rsidP="5ED733AE">
      <w:pPr>
        <w:jc w:val="center"/>
        <w:rPr>
          <w:rFonts w:ascii="Times New Roman" w:eastAsia="Times New Roman" w:hAnsi="Times New Roman" w:cs="Times New Roman"/>
          <w:sz w:val="28"/>
          <w:szCs w:val="28"/>
        </w:rPr>
      </w:pPr>
    </w:p>
    <w:p w14:paraId="46E65E4D" w14:textId="35A66F9A" w:rsidR="5ED733AE" w:rsidRDefault="5ED733AE" w:rsidP="5ED733AE">
      <w:pPr>
        <w:jc w:val="center"/>
        <w:rPr>
          <w:rFonts w:ascii="Times New Roman" w:eastAsia="Times New Roman" w:hAnsi="Times New Roman" w:cs="Times New Roman"/>
          <w:sz w:val="28"/>
          <w:szCs w:val="28"/>
        </w:rPr>
      </w:pPr>
    </w:p>
    <w:p w14:paraId="484EFBDA" w14:textId="0B12E150" w:rsidR="00545699" w:rsidRPr="00545699" w:rsidRDefault="0C4AF1CA" w:rsidP="5ED733AE">
      <w:pPr>
        <w:spacing w:line="480" w:lineRule="auto"/>
        <w:jc w:val="center"/>
        <w:rPr>
          <w:rFonts w:ascii="Times New Roman" w:eastAsia="Times New Roman" w:hAnsi="Times New Roman" w:cs="Times New Roman"/>
          <w:b/>
          <w:bCs/>
          <w:sz w:val="28"/>
          <w:szCs w:val="28"/>
        </w:rPr>
      </w:pPr>
      <w:r w:rsidRPr="5ED733AE">
        <w:rPr>
          <w:rFonts w:ascii="Times New Roman" w:eastAsia="Times New Roman" w:hAnsi="Times New Roman" w:cs="Times New Roman"/>
          <w:b/>
          <w:bCs/>
          <w:sz w:val="28"/>
          <w:szCs w:val="28"/>
        </w:rPr>
        <w:lastRenderedPageBreak/>
        <w:t>Abstract</w:t>
      </w:r>
    </w:p>
    <w:p w14:paraId="1920BF6D" w14:textId="43FB4152" w:rsidR="00545699" w:rsidRPr="00545699" w:rsidRDefault="0C4AF1CA" w:rsidP="5ED733AE">
      <w:pPr>
        <w:spacing w:line="480" w:lineRule="auto"/>
        <w:rPr>
          <w:rFonts w:ascii="Times New Roman" w:eastAsia="Times New Roman" w:hAnsi="Times New Roman" w:cs="Times New Roman"/>
          <w:b/>
          <w:bCs/>
          <w:sz w:val="24"/>
          <w:szCs w:val="24"/>
        </w:rPr>
      </w:pPr>
      <w:r w:rsidRPr="5ED733AE">
        <w:rPr>
          <w:rFonts w:ascii="Times New Roman" w:eastAsia="Times New Roman" w:hAnsi="Times New Roman" w:cs="Times New Roman"/>
          <w:sz w:val="24"/>
          <w:szCs w:val="24"/>
        </w:rPr>
        <w:t>In radiology, creating the "Impression" section of reports is critical for clinical decision-making but is also a significant contributor to radiologist burnout due to its time-intensive nature. This p</w:t>
      </w:r>
      <w:r w:rsidR="33E04112" w:rsidRPr="5ED733AE">
        <w:rPr>
          <w:rFonts w:ascii="Times New Roman" w:eastAsia="Times New Roman" w:hAnsi="Times New Roman" w:cs="Times New Roman"/>
          <w:sz w:val="24"/>
          <w:szCs w:val="24"/>
        </w:rPr>
        <w:t>aper</w:t>
      </w:r>
      <w:r w:rsidRPr="5ED733AE">
        <w:rPr>
          <w:rFonts w:ascii="Times New Roman" w:eastAsia="Times New Roman" w:hAnsi="Times New Roman" w:cs="Times New Roman"/>
          <w:sz w:val="24"/>
          <w:szCs w:val="24"/>
        </w:rPr>
        <w:t xml:space="preserve"> introduces a novel approach leveraging open-sourced pre-trained Large Language Models (LLMs) to automate and personalize the crafting of radiological impressions. Utilizing a coarse-to-fine methodology, this strategy begins by generating a preliminary impression based on imaging findings and patient data, which is then refined to align with the individual radiologist's stylistic preferences through advanced machine learning techniques. The refinement process employs reinforcement learning from human feedback (RLHF) to ensure that the impressions are not only stylistically consistent but also factually accurate. By automating the impression generation process with tailored, high-quality outputs, this approach aims to alleviate the administrative burden on radiologists, enabling them to devote more time to patient care and reducing the risk of burnout. The proposed system will be fine-tuned using diverse LLM architectures such as </w:t>
      </w:r>
      <w:proofErr w:type="spellStart"/>
      <w:r w:rsidRPr="5ED733AE">
        <w:rPr>
          <w:rFonts w:ascii="Times New Roman" w:eastAsia="Times New Roman" w:hAnsi="Times New Roman" w:cs="Times New Roman"/>
          <w:sz w:val="24"/>
          <w:szCs w:val="24"/>
        </w:rPr>
        <w:t>LLaMA</w:t>
      </w:r>
      <w:proofErr w:type="spellEnd"/>
      <w:r w:rsidRPr="5ED733AE">
        <w:rPr>
          <w:rFonts w:ascii="Times New Roman" w:eastAsia="Times New Roman" w:hAnsi="Times New Roman" w:cs="Times New Roman"/>
          <w:sz w:val="24"/>
          <w:szCs w:val="24"/>
        </w:rPr>
        <w:t xml:space="preserve"> 3B, </w:t>
      </w:r>
      <w:proofErr w:type="spellStart"/>
      <w:r w:rsidRPr="5ED733AE">
        <w:rPr>
          <w:rFonts w:ascii="Times New Roman" w:eastAsia="Times New Roman" w:hAnsi="Times New Roman" w:cs="Times New Roman"/>
          <w:sz w:val="24"/>
          <w:szCs w:val="24"/>
        </w:rPr>
        <w:t>LLaMA</w:t>
      </w:r>
      <w:proofErr w:type="spellEnd"/>
      <w:r w:rsidRPr="5ED733AE">
        <w:rPr>
          <w:rFonts w:ascii="Times New Roman" w:eastAsia="Times New Roman" w:hAnsi="Times New Roman" w:cs="Times New Roman"/>
          <w:sz w:val="24"/>
          <w:szCs w:val="24"/>
        </w:rPr>
        <w:t xml:space="preserve"> 7B, and Mistral 7B, sourced from radiology reports at the University of Chicago Medicine, to balance computational efficiency and accuracy. This initiative promises to enhance the efficiency and personalization of radiology reporting, improving overall clinical practice and patient outcomes.</w:t>
      </w:r>
    </w:p>
    <w:p w14:paraId="0B8F60A5" w14:textId="0EDB2943" w:rsidR="5ED733AE" w:rsidRDefault="5ED733AE" w:rsidP="5ED733AE">
      <w:pPr>
        <w:spacing w:line="480" w:lineRule="auto"/>
        <w:rPr>
          <w:rFonts w:ascii="Times New Roman" w:eastAsia="Times New Roman" w:hAnsi="Times New Roman" w:cs="Times New Roman"/>
          <w:sz w:val="24"/>
          <w:szCs w:val="24"/>
        </w:rPr>
      </w:pPr>
    </w:p>
    <w:p w14:paraId="786FB0E7" w14:textId="558D7CD3" w:rsidR="39A77E2A" w:rsidRDefault="39A77E2A" w:rsidP="5ED733AE">
      <w:pPr>
        <w:spacing w:line="480" w:lineRule="auto"/>
        <w:rPr>
          <w:rFonts w:ascii="Times New Roman" w:eastAsia="Times New Roman" w:hAnsi="Times New Roman" w:cs="Times New Roman"/>
          <w:sz w:val="24"/>
          <w:szCs w:val="24"/>
        </w:rPr>
      </w:pPr>
      <w:r w:rsidRPr="5ED733AE">
        <w:rPr>
          <w:rFonts w:ascii="Times New Roman" w:eastAsia="Times New Roman" w:hAnsi="Times New Roman" w:cs="Times New Roman"/>
          <w:i/>
          <w:iCs/>
          <w:sz w:val="24"/>
          <w:szCs w:val="24"/>
        </w:rPr>
        <w:t xml:space="preserve">Keywords: </w:t>
      </w:r>
      <w:r w:rsidRPr="5ED733AE">
        <w:rPr>
          <w:rFonts w:ascii="Times New Roman" w:eastAsia="Times New Roman" w:hAnsi="Times New Roman" w:cs="Times New Roman"/>
          <w:sz w:val="24"/>
          <w:szCs w:val="24"/>
        </w:rPr>
        <w:t xml:space="preserve">healthcare, Impression generation, </w:t>
      </w:r>
      <w:proofErr w:type="spellStart"/>
      <w:r w:rsidRPr="5ED733AE">
        <w:rPr>
          <w:rFonts w:ascii="Times New Roman" w:eastAsia="Times New Roman" w:hAnsi="Times New Roman" w:cs="Times New Roman"/>
          <w:sz w:val="24"/>
          <w:szCs w:val="24"/>
        </w:rPr>
        <w:t>GenAI</w:t>
      </w:r>
      <w:proofErr w:type="spellEnd"/>
      <w:r w:rsidRPr="5ED733AE">
        <w:rPr>
          <w:rFonts w:ascii="Times New Roman" w:eastAsia="Times New Roman" w:hAnsi="Times New Roman" w:cs="Times New Roman"/>
          <w:sz w:val="24"/>
          <w:szCs w:val="24"/>
        </w:rPr>
        <w:t xml:space="preserve">, Large Language Model, Fine-tuning, GPU, </w:t>
      </w:r>
      <w:r w:rsidR="524FB0BE" w:rsidRPr="5ED733AE">
        <w:rPr>
          <w:rFonts w:ascii="Times New Roman" w:eastAsia="Times New Roman" w:hAnsi="Times New Roman" w:cs="Times New Roman"/>
          <w:sz w:val="24"/>
          <w:szCs w:val="24"/>
        </w:rPr>
        <w:t>deep learning</w:t>
      </w:r>
    </w:p>
    <w:p w14:paraId="61CEF0A3" w14:textId="77777777" w:rsidR="00545699" w:rsidRDefault="00545699" w:rsidP="0CB902B4">
      <w:pPr>
        <w:rPr>
          <w:rFonts w:ascii="Times New Roman" w:eastAsia="Times New Roman" w:hAnsi="Times New Roman" w:cs="Times New Roman"/>
          <w:b/>
          <w:bCs/>
          <w:sz w:val="28"/>
          <w:szCs w:val="28"/>
        </w:rPr>
      </w:pPr>
    </w:p>
    <w:p w14:paraId="6CF2D8E3" w14:textId="79DEF601" w:rsidR="5ED733AE" w:rsidRDefault="5ED733AE" w:rsidP="5ED733AE">
      <w:pPr>
        <w:rPr>
          <w:rFonts w:ascii="Times New Roman" w:eastAsia="Times New Roman" w:hAnsi="Times New Roman" w:cs="Times New Roman"/>
          <w:b/>
          <w:bCs/>
          <w:sz w:val="28"/>
          <w:szCs w:val="28"/>
        </w:rPr>
      </w:pPr>
    </w:p>
    <w:p w14:paraId="26746D5F" w14:textId="1AF9E4D5" w:rsidR="5ED733AE" w:rsidRDefault="5ED733AE" w:rsidP="5ED733AE">
      <w:pPr>
        <w:rPr>
          <w:rFonts w:ascii="Times New Roman" w:eastAsia="Times New Roman" w:hAnsi="Times New Roman" w:cs="Times New Roman"/>
          <w:b/>
          <w:bCs/>
          <w:sz w:val="28"/>
          <w:szCs w:val="28"/>
        </w:rPr>
      </w:pPr>
    </w:p>
    <w:p w14:paraId="0D8ADAE6" w14:textId="23E29AB6" w:rsidR="40FC7B8F" w:rsidRDefault="40FC7B8F" w:rsidP="5ED733AE">
      <w:pPr>
        <w:jc w:val="center"/>
        <w:rPr>
          <w:rFonts w:ascii="Times New Roman" w:eastAsia="Times New Roman" w:hAnsi="Times New Roman" w:cs="Times New Roman"/>
          <w:b/>
          <w:bCs/>
          <w:sz w:val="28"/>
          <w:szCs w:val="28"/>
        </w:rPr>
      </w:pPr>
      <w:r w:rsidRPr="5ED733AE">
        <w:rPr>
          <w:rFonts w:ascii="Times New Roman" w:eastAsia="Times New Roman" w:hAnsi="Times New Roman" w:cs="Times New Roman"/>
          <w:b/>
          <w:bCs/>
          <w:sz w:val="28"/>
          <w:szCs w:val="28"/>
        </w:rPr>
        <w:t>Table of Contents</w:t>
      </w:r>
    </w:p>
    <w:sdt>
      <w:sdtPr>
        <w:id w:val="301301802"/>
        <w:docPartObj>
          <w:docPartGallery w:val="Table of Contents"/>
          <w:docPartUnique/>
        </w:docPartObj>
      </w:sdtPr>
      <w:sdtContent>
        <w:p w14:paraId="76CDB753" w14:textId="5DFF1A2D" w:rsidR="5ED733AE" w:rsidRDefault="5ED733AE" w:rsidP="5ED733AE">
          <w:pPr>
            <w:pStyle w:val="TOC1"/>
            <w:tabs>
              <w:tab w:val="right" w:leader="dot" w:pos="9360"/>
            </w:tabs>
            <w:rPr>
              <w:rStyle w:val="Hyperlink"/>
            </w:rPr>
          </w:pPr>
          <w:r>
            <w:fldChar w:fldCharType="begin"/>
          </w:r>
          <w:r>
            <w:instrText>TOC \o \z \u \h</w:instrText>
          </w:r>
          <w:r>
            <w:fldChar w:fldCharType="separate"/>
          </w:r>
          <w:hyperlink w:anchor="_Toc1727263662">
            <w:r w:rsidRPr="5ED733AE">
              <w:rPr>
                <w:rStyle w:val="Hyperlink"/>
              </w:rPr>
              <w:t>Introduction</w:t>
            </w:r>
            <w:r>
              <w:tab/>
            </w:r>
            <w:r>
              <w:fldChar w:fldCharType="begin"/>
            </w:r>
            <w:r>
              <w:instrText>PAGEREF _Toc1727263662 \h</w:instrText>
            </w:r>
            <w:r>
              <w:fldChar w:fldCharType="separate"/>
            </w:r>
            <w:r w:rsidRPr="5ED733AE">
              <w:rPr>
                <w:rStyle w:val="Hyperlink"/>
              </w:rPr>
              <w:t>3</w:t>
            </w:r>
            <w:r>
              <w:fldChar w:fldCharType="end"/>
            </w:r>
          </w:hyperlink>
        </w:p>
        <w:p w14:paraId="499A612D" w14:textId="0FB2FDD0" w:rsidR="5ED733AE" w:rsidRDefault="00000000" w:rsidP="5ED733AE">
          <w:pPr>
            <w:pStyle w:val="TOC2"/>
            <w:tabs>
              <w:tab w:val="right" w:leader="dot" w:pos="9360"/>
            </w:tabs>
            <w:rPr>
              <w:rStyle w:val="Hyperlink"/>
            </w:rPr>
          </w:pPr>
          <w:hyperlink w:anchor="_Toc1180186092">
            <w:r w:rsidR="5ED733AE" w:rsidRPr="5ED733AE">
              <w:rPr>
                <w:rStyle w:val="Hyperlink"/>
              </w:rPr>
              <w:t>Research Problem</w:t>
            </w:r>
            <w:r w:rsidR="5ED733AE">
              <w:tab/>
            </w:r>
            <w:r w:rsidR="5ED733AE">
              <w:fldChar w:fldCharType="begin"/>
            </w:r>
            <w:r w:rsidR="5ED733AE">
              <w:instrText>PAGEREF _Toc1180186092 \h</w:instrText>
            </w:r>
            <w:r w:rsidR="5ED733AE">
              <w:fldChar w:fldCharType="separate"/>
            </w:r>
            <w:r w:rsidR="5ED733AE" w:rsidRPr="5ED733AE">
              <w:rPr>
                <w:rStyle w:val="Hyperlink"/>
              </w:rPr>
              <w:t>3</w:t>
            </w:r>
            <w:r w:rsidR="5ED733AE">
              <w:fldChar w:fldCharType="end"/>
            </w:r>
          </w:hyperlink>
        </w:p>
        <w:p w14:paraId="628B3DAC" w14:textId="24D69B85" w:rsidR="5ED733AE" w:rsidRDefault="00000000" w:rsidP="5ED733AE">
          <w:pPr>
            <w:pStyle w:val="TOC2"/>
            <w:tabs>
              <w:tab w:val="right" w:leader="dot" w:pos="9360"/>
            </w:tabs>
            <w:rPr>
              <w:rStyle w:val="Hyperlink"/>
            </w:rPr>
          </w:pPr>
          <w:hyperlink w:anchor="_Toc1491610967">
            <w:r w:rsidR="5ED733AE" w:rsidRPr="5ED733AE">
              <w:rPr>
                <w:rStyle w:val="Hyperlink"/>
              </w:rPr>
              <w:t>Goals of Analysis</w:t>
            </w:r>
            <w:r w:rsidR="5ED733AE">
              <w:tab/>
            </w:r>
            <w:r w:rsidR="5ED733AE">
              <w:fldChar w:fldCharType="begin"/>
            </w:r>
            <w:r w:rsidR="5ED733AE">
              <w:instrText>PAGEREF _Toc1491610967 \h</w:instrText>
            </w:r>
            <w:r w:rsidR="5ED733AE">
              <w:fldChar w:fldCharType="separate"/>
            </w:r>
            <w:r w:rsidR="5ED733AE" w:rsidRPr="5ED733AE">
              <w:rPr>
                <w:rStyle w:val="Hyperlink"/>
              </w:rPr>
              <w:t>4</w:t>
            </w:r>
            <w:r w:rsidR="5ED733AE">
              <w:fldChar w:fldCharType="end"/>
            </w:r>
          </w:hyperlink>
        </w:p>
        <w:p w14:paraId="29BB5868" w14:textId="5150A8C5" w:rsidR="5ED733AE" w:rsidRDefault="00000000" w:rsidP="5ED733AE">
          <w:pPr>
            <w:pStyle w:val="TOC1"/>
            <w:tabs>
              <w:tab w:val="right" w:leader="dot" w:pos="9360"/>
            </w:tabs>
            <w:rPr>
              <w:rStyle w:val="Hyperlink"/>
            </w:rPr>
          </w:pPr>
          <w:hyperlink w:anchor="_Toc128708388">
            <w:r w:rsidR="5ED733AE" w:rsidRPr="5ED733AE">
              <w:rPr>
                <w:rStyle w:val="Hyperlink"/>
              </w:rPr>
              <w:t>Background</w:t>
            </w:r>
            <w:r w:rsidR="5ED733AE">
              <w:tab/>
            </w:r>
            <w:r w:rsidR="5ED733AE">
              <w:fldChar w:fldCharType="begin"/>
            </w:r>
            <w:r w:rsidR="5ED733AE">
              <w:instrText>PAGEREF _Toc128708388 \h</w:instrText>
            </w:r>
            <w:r w:rsidR="5ED733AE">
              <w:fldChar w:fldCharType="separate"/>
            </w:r>
            <w:r w:rsidR="5ED733AE" w:rsidRPr="5ED733AE">
              <w:rPr>
                <w:rStyle w:val="Hyperlink"/>
              </w:rPr>
              <w:t>4</w:t>
            </w:r>
            <w:r w:rsidR="5ED733AE">
              <w:fldChar w:fldCharType="end"/>
            </w:r>
          </w:hyperlink>
        </w:p>
        <w:p w14:paraId="0024DB4B" w14:textId="3F0D902A" w:rsidR="5ED733AE" w:rsidRDefault="00000000" w:rsidP="5ED733AE">
          <w:pPr>
            <w:pStyle w:val="TOC2"/>
            <w:tabs>
              <w:tab w:val="right" w:leader="dot" w:pos="9360"/>
            </w:tabs>
            <w:rPr>
              <w:rStyle w:val="Hyperlink"/>
            </w:rPr>
          </w:pPr>
          <w:hyperlink w:anchor="_Toc1558204985">
            <w:r w:rsidR="5ED733AE" w:rsidRPr="5ED733AE">
              <w:rPr>
                <w:rStyle w:val="Hyperlink"/>
              </w:rPr>
              <w:t>Literature review</w:t>
            </w:r>
            <w:r w:rsidR="5ED733AE">
              <w:tab/>
            </w:r>
            <w:r w:rsidR="5ED733AE">
              <w:fldChar w:fldCharType="begin"/>
            </w:r>
            <w:r w:rsidR="5ED733AE">
              <w:instrText>PAGEREF _Toc1558204985 \h</w:instrText>
            </w:r>
            <w:r w:rsidR="5ED733AE">
              <w:fldChar w:fldCharType="separate"/>
            </w:r>
            <w:r w:rsidR="5ED733AE" w:rsidRPr="5ED733AE">
              <w:rPr>
                <w:rStyle w:val="Hyperlink"/>
              </w:rPr>
              <w:t>5</w:t>
            </w:r>
            <w:r w:rsidR="5ED733AE">
              <w:fldChar w:fldCharType="end"/>
            </w:r>
          </w:hyperlink>
        </w:p>
        <w:p w14:paraId="584E2D5F" w14:textId="07149A16" w:rsidR="5ED733AE" w:rsidRDefault="00000000" w:rsidP="5ED733AE">
          <w:pPr>
            <w:pStyle w:val="TOC3"/>
            <w:tabs>
              <w:tab w:val="right" w:leader="dot" w:pos="9360"/>
            </w:tabs>
            <w:rPr>
              <w:rStyle w:val="Hyperlink"/>
            </w:rPr>
          </w:pPr>
          <w:hyperlink w:anchor="_Toc565777621">
            <w:r w:rsidR="5ED733AE" w:rsidRPr="5ED733AE">
              <w:rPr>
                <w:rStyle w:val="Hyperlink"/>
              </w:rPr>
              <w:t>GPT and Impression Generation</w:t>
            </w:r>
            <w:r w:rsidR="5ED733AE">
              <w:tab/>
            </w:r>
            <w:r w:rsidR="5ED733AE">
              <w:fldChar w:fldCharType="begin"/>
            </w:r>
            <w:r w:rsidR="5ED733AE">
              <w:instrText>PAGEREF _Toc565777621 \h</w:instrText>
            </w:r>
            <w:r w:rsidR="5ED733AE">
              <w:fldChar w:fldCharType="separate"/>
            </w:r>
            <w:r w:rsidR="5ED733AE" w:rsidRPr="5ED733AE">
              <w:rPr>
                <w:rStyle w:val="Hyperlink"/>
              </w:rPr>
              <w:t>5</w:t>
            </w:r>
            <w:r w:rsidR="5ED733AE">
              <w:fldChar w:fldCharType="end"/>
            </w:r>
          </w:hyperlink>
        </w:p>
        <w:p w14:paraId="7CA730BF" w14:textId="6ECE8E6B" w:rsidR="5ED733AE" w:rsidRDefault="00000000" w:rsidP="5ED733AE">
          <w:pPr>
            <w:pStyle w:val="TOC3"/>
            <w:tabs>
              <w:tab w:val="right" w:leader="dot" w:pos="9360"/>
            </w:tabs>
            <w:rPr>
              <w:rStyle w:val="Hyperlink"/>
            </w:rPr>
          </w:pPr>
          <w:hyperlink w:anchor="_Toc269235332">
            <w:r w:rsidR="5ED733AE" w:rsidRPr="5ED733AE">
              <w:rPr>
                <w:rStyle w:val="Hyperlink"/>
              </w:rPr>
              <w:t>Open-Sourced LLMs and Impression</w:t>
            </w:r>
            <w:r w:rsidR="5ED733AE">
              <w:tab/>
            </w:r>
            <w:r w:rsidR="5ED733AE">
              <w:fldChar w:fldCharType="begin"/>
            </w:r>
            <w:r w:rsidR="5ED733AE">
              <w:instrText>PAGEREF _Toc269235332 \h</w:instrText>
            </w:r>
            <w:r w:rsidR="5ED733AE">
              <w:fldChar w:fldCharType="separate"/>
            </w:r>
            <w:r w:rsidR="5ED733AE" w:rsidRPr="5ED733AE">
              <w:rPr>
                <w:rStyle w:val="Hyperlink"/>
              </w:rPr>
              <w:t>5</w:t>
            </w:r>
            <w:r w:rsidR="5ED733AE">
              <w:fldChar w:fldCharType="end"/>
            </w:r>
          </w:hyperlink>
        </w:p>
        <w:p w14:paraId="58C4A950" w14:textId="08476B6E" w:rsidR="5ED733AE" w:rsidRDefault="00000000" w:rsidP="5ED733AE">
          <w:pPr>
            <w:pStyle w:val="TOC1"/>
            <w:tabs>
              <w:tab w:val="right" w:leader="dot" w:pos="9360"/>
            </w:tabs>
            <w:rPr>
              <w:rStyle w:val="Hyperlink"/>
            </w:rPr>
          </w:pPr>
          <w:hyperlink w:anchor="_Toc798182214">
            <w:r w:rsidR="5ED733AE" w:rsidRPr="5ED733AE">
              <w:rPr>
                <w:rStyle w:val="Hyperlink"/>
              </w:rPr>
              <w:t>Data</w:t>
            </w:r>
            <w:r w:rsidR="5ED733AE">
              <w:tab/>
            </w:r>
            <w:r w:rsidR="5ED733AE">
              <w:fldChar w:fldCharType="begin"/>
            </w:r>
            <w:r w:rsidR="5ED733AE">
              <w:instrText>PAGEREF _Toc798182214 \h</w:instrText>
            </w:r>
            <w:r w:rsidR="5ED733AE">
              <w:fldChar w:fldCharType="separate"/>
            </w:r>
            <w:r w:rsidR="5ED733AE" w:rsidRPr="5ED733AE">
              <w:rPr>
                <w:rStyle w:val="Hyperlink"/>
              </w:rPr>
              <w:t>8</w:t>
            </w:r>
            <w:r w:rsidR="5ED733AE">
              <w:fldChar w:fldCharType="end"/>
            </w:r>
          </w:hyperlink>
        </w:p>
        <w:p w14:paraId="44DB94CB" w14:textId="07554B40" w:rsidR="5ED733AE" w:rsidRDefault="00000000" w:rsidP="5ED733AE">
          <w:pPr>
            <w:pStyle w:val="TOC1"/>
            <w:tabs>
              <w:tab w:val="right" w:leader="dot" w:pos="9360"/>
            </w:tabs>
            <w:rPr>
              <w:rStyle w:val="Hyperlink"/>
            </w:rPr>
          </w:pPr>
          <w:hyperlink w:anchor="_Toc1618333919">
            <w:r w:rsidR="5ED733AE" w:rsidRPr="5ED733AE">
              <w:rPr>
                <w:rStyle w:val="Hyperlink"/>
              </w:rPr>
              <w:t>Methodology</w:t>
            </w:r>
            <w:r w:rsidR="5ED733AE">
              <w:tab/>
            </w:r>
            <w:r w:rsidR="5ED733AE">
              <w:fldChar w:fldCharType="begin"/>
            </w:r>
            <w:r w:rsidR="5ED733AE">
              <w:instrText>PAGEREF _Toc1618333919 \h</w:instrText>
            </w:r>
            <w:r w:rsidR="5ED733AE">
              <w:fldChar w:fldCharType="separate"/>
            </w:r>
            <w:r w:rsidR="5ED733AE" w:rsidRPr="5ED733AE">
              <w:rPr>
                <w:rStyle w:val="Hyperlink"/>
              </w:rPr>
              <w:t>10</w:t>
            </w:r>
            <w:r w:rsidR="5ED733AE">
              <w:fldChar w:fldCharType="end"/>
            </w:r>
          </w:hyperlink>
        </w:p>
        <w:p w14:paraId="17FBAF32" w14:textId="1D3CBE3D" w:rsidR="5ED733AE" w:rsidRDefault="00000000" w:rsidP="5ED733AE">
          <w:pPr>
            <w:pStyle w:val="TOC1"/>
            <w:tabs>
              <w:tab w:val="right" w:leader="dot" w:pos="9360"/>
            </w:tabs>
            <w:rPr>
              <w:rStyle w:val="Hyperlink"/>
            </w:rPr>
          </w:pPr>
          <w:hyperlink w:anchor="_Toc35235320">
            <w:r w:rsidR="5ED733AE" w:rsidRPr="5ED733AE">
              <w:rPr>
                <w:rStyle w:val="Hyperlink"/>
              </w:rPr>
              <w:t>References</w:t>
            </w:r>
            <w:r w:rsidR="5ED733AE">
              <w:tab/>
            </w:r>
            <w:r w:rsidR="5ED733AE">
              <w:fldChar w:fldCharType="begin"/>
            </w:r>
            <w:r w:rsidR="5ED733AE">
              <w:instrText>PAGEREF _Toc35235320 \h</w:instrText>
            </w:r>
            <w:r w:rsidR="5ED733AE">
              <w:fldChar w:fldCharType="separate"/>
            </w:r>
            <w:r w:rsidR="5ED733AE" w:rsidRPr="5ED733AE">
              <w:rPr>
                <w:rStyle w:val="Hyperlink"/>
              </w:rPr>
              <w:t>11</w:t>
            </w:r>
            <w:r w:rsidR="5ED733AE">
              <w:fldChar w:fldCharType="end"/>
            </w:r>
          </w:hyperlink>
          <w:r w:rsidR="5ED733AE">
            <w:fldChar w:fldCharType="end"/>
          </w:r>
        </w:p>
      </w:sdtContent>
    </w:sdt>
    <w:p w14:paraId="45FDB2EE" w14:textId="144D3B1F" w:rsidR="5ED733AE" w:rsidRDefault="5ED733AE" w:rsidP="5ED733AE"/>
    <w:p w14:paraId="30430A30" w14:textId="013485AE" w:rsidR="5ED733AE" w:rsidRDefault="5ED733AE" w:rsidP="5ED733AE">
      <w:pPr>
        <w:rPr>
          <w:rFonts w:ascii="Times New Roman" w:eastAsia="Times New Roman" w:hAnsi="Times New Roman" w:cs="Times New Roman"/>
          <w:b/>
          <w:bCs/>
          <w:sz w:val="28"/>
          <w:szCs w:val="28"/>
        </w:rPr>
      </w:pPr>
    </w:p>
    <w:p w14:paraId="14686F27" w14:textId="6A3DBAC3" w:rsidR="5ED733AE" w:rsidRDefault="5ED733AE" w:rsidP="5ED733AE">
      <w:pPr>
        <w:rPr>
          <w:rFonts w:ascii="Times New Roman" w:eastAsia="Times New Roman" w:hAnsi="Times New Roman" w:cs="Times New Roman"/>
          <w:b/>
          <w:bCs/>
          <w:sz w:val="28"/>
          <w:szCs w:val="28"/>
        </w:rPr>
      </w:pPr>
    </w:p>
    <w:p w14:paraId="69B4B018" w14:textId="3634BAB7" w:rsidR="5ED733AE" w:rsidRDefault="5ED733AE" w:rsidP="5ED733AE">
      <w:pPr>
        <w:rPr>
          <w:rFonts w:ascii="Times New Roman" w:eastAsia="Times New Roman" w:hAnsi="Times New Roman" w:cs="Times New Roman"/>
          <w:b/>
          <w:bCs/>
          <w:sz w:val="28"/>
          <w:szCs w:val="28"/>
        </w:rPr>
      </w:pPr>
    </w:p>
    <w:p w14:paraId="475993CC" w14:textId="4F2BA012" w:rsidR="5ED733AE" w:rsidRDefault="5ED733AE" w:rsidP="5ED733AE">
      <w:pPr>
        <w:rPr>
          <w:rFonts w:ascii="Times New Roman" w:eastAsia="Times New Roman" w:hAnsi="Times New Roman" w:cs="Times New Roman"/>
          <w:b/>
          <w:bCs/>
          <w:sz w:val="28"/>
          <w:szCs w:val="28"/>
        </w:rPr>
      </w:pPr>
    </w:p>
    <w:p w14:paraId="680CC28E" w14:textId="4EA70BBA" w:rsidR="5ED733AE" w:rsidRDefault="5ED733AE" w:rsidP="5ED733AE">
      <w:pPr>
        <w:rPr>
          <w:rFonts w:ascii="Times New Roman" w:eastAsia="Times New Roman" w:hAnsi="Times New Roman" w:cs="Times New Roman"/>
          <w:b/>
          <w:bCs/>
          <w:sz w:val="28"/>
          <w:szCs w:val="28"/>
        </w:rPr>
      </w:pPr>
    </w:p>
    <w:p w14:paraId="5C47DC7B" w14:textId="6CEAC630" w:rsidR="5ED733AE" w:rsidRDefault="5ED733AE" w:rsidP="5ED733AE">
      <w:pPr>
        <w:rPr>
          <w:rFonts w:ascii="Times New Roman" w:eastAsia="Times New Roman" w:hAnsi="Times New Roman" w:cs="Times New Roman"/>
          <w:b/>
          <w:bCs/>
          <w:sz w:val="28"/>
          <w:szCs w:val="28"/>
        </w:rPr>
      </w:pPr>
    </w:p>
    <w:p w14:paraId="6A780336" w14:textId="5C05C17E" w:rsidR="5ED733AE" w:rsidRDefault="5ED733AE" w:rsidP="5ED733AE">
      <w:pPr>
        <w:rPr>
          <w:rFonts w:ascii="Times New Roman" w:eastAsia="Times New Roman" w:hAnsi="Times New Roman" w:cs="Times New Roman"/>
          <w:b/>
          <w:bCs/>
          <w:sz w:val="28"/>
          <w:szCs w:val="28"/>
        </w:rPr>
      </w:pPr>
    </w:p>
    <w:p w14:paraId="79BB723C" w14:textId="29CB8921" w:rsidR="5ED733AE" w:rsidRDefault="5ED733AE" w:rsidP="5ED733AE">
      <w:pPr>
        <w:rPr>
          <w:rFonts w:ascii="Times New Roman" w:eastAsia="Times New Roman" w:hAnsi="Times New Roman" w:cs="Times New Roman"/>
          <w:b/>
          <w:bCs/>
          <w:sz w:val="28"/>
          <w:szCs w:val="28"/>
        </w:rPr>
      </w:pPr>
    </w:p>
    <w:p w14:paraId="5825A8AE" w14:textId="6C39FDEA" w:rsidR="5ED733AE" w:rsidRDefault="5ED733AE" w:rsidP="5ED733AE">
      <w:pPr>
        <w:rPr>
          <w:rFonts w:ascii="Times New Roman" w:eastAsia="Times New Roman" w:hAnsi="Times New Roman" w:cs="Times New Roman"/>
          <w:b/>
          <w:bCs/>
          <w:sz w:val="28"/>
          <w:szCs w:val="28"/>
        </w:rPr>
      </w:pPr>
    </w:p>
    <w:p w14:paraId="45583193" w14:textId="728303BF" w:rsidR="5ED733AE" w:rsidRDefault="5ED733AE" w:rsidP="5ED733AE">
      <w:pPr>
        <w:rPr>
          <w:rFonts w:ascii="Times New Roman" w:eastAsia="Times New Roman" w:hAnsi="Times New Roman" w:cs="Times New Roman"/>
          <w:b/>
          <w:bCs/>
          <w:sz w:val="28"/>
          <w:szCs w:val="28"/>
        </w:rPr>
      </w:pPr>
    </w:p>
    <w:p w14:paraId="52970654" w14:textId="5142AD90" w:rsidR="5ED733AE" w:rsidRDefault="5ED733AE" w:rsidP="5ED733AE">
      <w:pPr>
        <w:rPr>
          <w:rFonts w:ascii="Times New Roman" w:eastAsia="Times New Roman" w:hAnsi="Times New Roman" w:cs="Times New Roman"/>
          <w:b/>
          <w:bCs/>
          <w:sz w:val="28"/>
          <w:szCs w:val="28"/>
        </w:rPr>
      </w:pPr>
    </w:p>
    <w:p w14:paraId="327ED50C" w14:textId="7829AD7E" w:rsidR="5ED733AE" w:rsidRDefault="5ED733AE" w:rsidP="5ED733AE">
      <w:pPr>
        <w:rPr>
          <w:rFonts w:ascii="Times New Roman" w:eastAsia="Times New Roman" w:hAnsi="Times New Roman" w:cs="Times New Roman"/>
          <w:b/>
          <w:bCs/>
          <w:sz w:val="28"/>
          <w:szCs w:val="28"/>
        </w:rPr>
      </w:pPr>
    </w:p>
    <w:p w14:paraId="23C82FDB" w14:textId="55F0F198" w:rsidR="5ED733AE" w:rsidRDefault="5ED733AE" w:rsidP="5ED733AE">
      <w:pPr>
        <w:rPr>
          <w:rFonts w:ascii="Times New Roman" w:eastAsia="Times New Roman" w:hAnsi="Times New Roman" w:cs="Times New Roman"/>
          <w:b/>
          <w:bCs/>
          <w:sz w:val="28"/>
          <w:szCs w:val="28"/>
        </w:rPr>
      </w:pPr>
    </w:p>
    <w:p w14:paraId="794BED82" w14:textId="72BBC0FF" w:rsidR="5ED733AE" w:rsidRDefault="5ED733AE" w:rsidP="5ED733AE">
      <w:pPr>
        <w:rPr>
          <w:rFonts w:ascii="Times New Roman" w:eastAsia="Times New Roman" w:hAnsi="Times New Roman" w:cs="Times New Roman"/>
          <w:b/>
          <w:bCs/>
          <w:sz w:val="28"/>
          <w:szCs w:val="28"/>
        </w:rPr>
      </w:pPr>
    </w:p>
    <w:p w14:paraId="5B4D1A47" w14:textId="10E18341" w:rsidR="46CEF667" w:rsidRDefault="3E58A8C5" w:rsidP="5ED733AE">
      <w:pPr>
        <w:pStyle w:val="Heading1"/>
        <w:jc w:val="center"/>
        <w:rPr>
          <w:rFonts w:ascii="Times New Roman" w:eastAsia="Times New Roman" w:hAnsi="Times New Roman" w:cs="Times New Roman"/>
          <w:b/>
          <w:bCs/>
          <w:sz w:val="28"/>
          <w:szCs w:val="28"/>
        </w:rPr>
      </w:pPr>
      <w:bookmarkStart w:id="1" w:name="_Toc1727263662"/>
      <w:r>
        <w:lastRenderedPageBreak/>
        <w:t>Introduction</w:t>
      </w:r>
      <w:bookmarkEnd w:id="1"/>
    </w:p>
    <w:p w14:paraId="1AB1A691" w14:textId="20CEA1B5" w:rsidR="408B5FAE" w:rsidRDefault="6BD668E7" w:rsidP="5ED733AE">
      <w:r w:rsidRPr="5ED733AE">
        <w:rPr>
          <w:rFonts w:ascii="Times New Roman" w:eastAsia="Times New Roman" w:hAnsi="Times New Roman" w:cs="Times New Roman"/>
          <w:sz w:val="24"/>
          <w:szCs w:val="24"/>
        </w:rPr>
        <w:t>Healthcare is fundamental to individual and societal well-being</w:t>
      </w:r>
      <w:r w:rsidR="3EC27098" w:rsidRPr="5ED733AE">
        <w:rPr>
          <w:rFonts w:ascii="Times New Roman" w:eastAsia="Times New Roman" w:hAnsi="Times New Roman" w:cs="Times New Roman"/>
          <w:sz w:val="24"/>
          <w:szCs w:val="24"/>
        </w:rPr>
        <w:t>.</w:t>
      </w:r>
      <w:r w:rsidR="06B9E45F" w:rsidRPr="5ED733AE">
        <w:rPr>
          <w:rFonts w:ascii="Times New Roman" w:eastAsia="Times New Roman" w:hAnsi="Times New Roman" w:cs="Times New Roman"/>
          <w:sz w:val="24"/>
          <w:szCs w:val="24"/>
        </w:rPr>
        <w:t xml:space="preserve"> </w:t>
      </w:r>
      <w:r w:rsidR="50E3A0F7" w:rsidRPr="5ED733AE">
        <w:rPr>
          <w:rFonts w:ascii="Times New Roman" w:eastAsia="Times New Roman" w:hAnsi="Times New Roman" w:cs="Times New Roman"/>
          <w:sz w:val="24"/>
          <w:szCs w:val="24"/>
        </w:rPr>
        <w:t>At the front lines are phys</w:t>
      </w:r>
      <w:r w:rsidR="40D7496F" w:rsidRPr="5ED733AE">
        <w:rPr>
          <w:rFonts w:ascii="Times New Roman" w:eastAsia="Times New Roman" w:hAnsi="Times New Roman" w:cs="Times New Roman"/>
          <w:sz w:val="24"/>
          <w:szCs w:val="24"/>
        </w:rPr>
        <w:t xml:space="preserve">icians who </w:t>
      </w:r>
      <w:r w:rsidR="00B7CB6F" w:rsidRPr="5ED733AE">
        <w:rPr>
          <w:rFonts w:ascii="Times New Roman" w:eastAsia="Times New Roman" w:hAnsi="Times New Roman" w:cs="Times New Roman"/>
          <w:sz w:val="24"/>
          <w:szCs w:val="24"/>
        </w:rPr>
        <w:t xml:space="preserve">work tirelessly to provide the best </w:t>
      </w:r>
      <w:r w:rsidR="05F6BAA8" w:rsidRPr="5ED733AE">
        <w:rPr>
          <w:rFonts w:ascii="Times New Roman" w:eastAsia="Times New Roman" w:hAnsi="Times New Roman" w:cs="Times New Roman"/>
          <w:sz w:val="24"/>
          <w:szCs w:val="24"/>
        </w:rPr>
        <w:t>patient care</w:t>
      </w:r>
      <w:r w:rsidR="45F4A211" w:rsidRPr="5ED733AE">
        <w:rPr>
          <w:rFonts w:ascii="Times New Roman" w:eastAsia="Times New Roman" w:hAnsi="Times New Roman" w:cs="Times New Roman"/>
          <w:sz w:val="24"/>
          <w:szCs w:val="24"/>
        </w:rPr>
        <w:t>.</w:t>
      </w:r>
      <w:r w:rsidR="22CF8519" w:rsidRPr="5ED733AE">
        <w:rPr>
          <w:rFonts w:ascii="Times New Roman" w:eastAsia="Times New Roman" w:hAnsi="Times New Roman" w:cs="Times New Roman"/>
          <w:sz w:val="24"/>
          <w:szCs w:val="24"/>
        </w:rPr>
        <w:t xml:space="preserve"> Their work is pivotal in creating a healthier and more vibrant society. </w:t>
      </w:r>
      <w:r w:rsidR="31F17C8D" w:rsidRPr="5ED733AE">
        <w:rPr>
          <w:rFonts w:ascii="Times New Roman" w:eastAsia="Times New Roman" w:hAnsi="Times New Roman" w:cs="Times New Roman"/>
          <w:sz w:val="24"/>
          <w:szCs w:val="24"/>
        </w:rPr>
        <w:t>Due to the importance of their work, medical practice can be highly stressful as errors can be costly</w:t>
      </w:r>
      <w:r w:rsidR="3FA1B6D8" w:rsidRPr="5ED733AE">
        <w:rPr>
          <w:rFonts w:ascii="Times New Roman" w:eastAsia="Times New Roman" w:hAnsi="Times New Roman" w:cs="Times New Roman"/>
          <w:sz w:val="24"/>
          <w:szCs w:val="24"/>
        </w:rPr>
        <w:t xml:space="preserve">—a matter of life and death in many cases. </w:t>
      </w:r>
      <w:r w:rsidR="109450D7" w:rsidRPr="5ED733AE">
        <w:rPr>
          <w:rFonts w:ascii="Times New Roman" w:eastAsia="Times New Roman" w:hAnsi="Times New Roman" w:cs="Times New Roman"/>
          <w:sz w:val="24"/>
          <w:szCs w:val="24"/>
        </w:rPr>
        <w:t>To make matters worse, physicians must often work long hours under stressful conditions.</w:t>
      </w:r>
      <w:r w:rsidR="50402774" w:rsidRPr="5ED733AE">
        <w:rPr>
          <w:rFonts w:ascii="Times New Roman" w:eastAsia="Times New Roman" w:hAnsi="Times New Roman" w:cs="Times New Roman"/>
          <w:sz w:val="24"/>
          <w:szCs w:val="24"/>
        </w:rPr>
        <w:t xml:space="preserve"> Hence, there is no surprise that burnouts are common in the medical profe</w:t>
      </w:r>
      <w:r w:rsidR="0EC0826E" w:rsidRPr="5ED733AE">
        <w:rPr>
          <w:rFonts w:ascii="Times New Roman" w:eastAsia="Times New Roman" w:hAnsi="Times New Roman" w:cs="Times New Roman"/>
          <w:sz w:val="24"/>
          <w:szCs w:val="24"/>
        </w:rPr>
        <w:t>ssion</w:t>
      </w:r>
      <w:r w:rsidR="20F26318" w:rsidRPr="5ED733AE">
        <w:rPr>
          <w:rFonts w:ascii="Times New Roman" w:eastAsia="Times New Roman" w:hAnsi="Times New Roman" w:cs="Times New Roman"/>
          <w:sz w:val="24"/>
          <w:szCs w:val="24"/>
        </w:rPr>
        <w:t xml:space="preserve"> (</w:t>
      </w:r>
      <w:proofErr w:type="spellStart"/>
      <w:r w:rsidR="408B5FAE" w:rsidRPr="5ED733AE">
        <w:rPr>
          <w:rFonts w:eastAsiaTheme="minorHAnsi"/>
        </w:rPr>
        <w:fldChar w:fldCharType="begin"/>
      </w:r>
      <w:r w:rsidR="408B5FAE">
        <w:instrText>HYPERLINK "https://www.sciencedirect.com/science/article/pii/S0002934303001177?casa_token=J2VpjuoS8cwAAAAA:ABN0Plgo1SZrCxnKGDMfVlD5kHGKM1j9ccJxRmCeWJTAFxMttZCIoNlLJcsOPgkkaaPMCAk" \h</w:instrText>
      </w:r>
      <w:r w:rsidR="408B5FAE" w:rsidRPr="5ED733AE">
        <w:rPr>
          <w:rFonts w:eastAsiaTheme="minorHAnsi"/>
        </w:rPr>
        <w:fldChar w:fldCharType="separate"/>
      </w:r>
      <w:r w:rsidR="20F26318" w:rsidRPr="5ED733AE">
        <w:rPr>
          <w:rStyle w:val="Hyperlink"/>
          <w:rFonts w:ascii="Times New Roman" w:eastAsia="Times New Roman" w:hAnsi="Times New Roman" w:cs="Times New Roman"/>
          <w:sz w:val="24"/>
          <w:szCs w:val="24"/>
        </w:rPr>
        <w:t>Shanafelt</w:t>
      </w:r>
      <w:proofErr w:type="spellEnd"/>
      <w:r w:rsidR="05B69F85" w:rsidRPr="5ED733AE">
        <w:rPr>
          <w:rStyle w:val="Hyperlink"/>
          <w:rFonts w:ascii="Times New Roman" w:eastAsia="Times New Roman" w:hAnsi="Times New Roman" w:cs="Times New Roman"/>
          <w:sz w:val="24"/>
          <w:szCs w:val="24"/>
        </w:rPr>
        <w:t xml:space="preserve"> </w:t>
      </w:r>
      <w:r w:rsidR="05B69F85" w:rsidRPr="5ED733AE">
        <w:rPr>
          <w:rStyle w:val="Hyperlink"/>
          <w:rFonts w:ascii="Times New Roman" w:eastAsia="Times New Roman" w:hAnsi="Times New Roman" w:cs="Times New Roman"/>
          <w:sz w:val="24"/>
          <w:szCs w:val="24"/>
          <w:lang w:val="en-SG"/>
        </w:rPr>
        <w:t>et al. 2003</w:t>
      </w:r>
      <w:r w:rsidR="408B5FAE" w:rsidRPr="5ED733AE">
        <w:rPr>
          <w:rStyle w:val="Hyperlink"/>
          <w:rFonts w:ascii="Times New Roman" w:eastAsia="Times New Roman" w:hAnsi="Times New Roman" w:cs="Times New Roman"/>
          <w:sz w:val="24"/>
          <w:szCs w:val="24"/>
          <w:lang w:val="en-SG"/>
        </w:rPr>
        <w:fldChar w:fldCharType="end"/>
      </w:r>
      <w:r w:rsidR="144DE51E" w:rsidRPr="5ED733AE">
        <w:rPr>
          <w:rFonts w:ascii="Times New Roman" w:eastAsia="Times New Roman" w:hAnsi="Times New Roman" w:cs="Times New Roman"/>
          <w:sz w:val="24"/>
          <w:szCs w:val="24"/>
          <w:lang w:val="en-SG"/>
        </w:rPr>
        <w:t xml:space="preserve">; </w:t>
      </w:r>
      <w:hyperlink r:id="rId14">
        <w:r w:rsidR="144DE51E" w:rsidRPr="5ED733AE">
          <w:rPr>
            <w:rStyle w:val="Hyperlink"/>
            <w:rFonts w:ascii="Times New Roman" w:eastAsia="Times New Roman" w:hAnsi="Times New Roman" w:cs="Times New Roman"/>
            <w:sz w:val="24"/>
            <w:szCs w:val="24"/>
            <w:lang w:val="en-SG"/>
          </w:rPr>
          <w:t>Siu</w:t>
        </w:r>
        <w:r w:rsidR="4C3C25A3" w:rsidRPr="5ED733AE">
          <w:rPr>
            <w:rStyle w:val="Hyperlink"/>
            <w:rFonts w:ascii="Times New Roman" w:eastAsia="Times New Roman" w:hAnsi="Times New Roman" w:cs="Times New Roman"/>
            <w:sz w:val="24"/>
            <w:szCs w:val="24"/>
            <w:lang w:val="en-SG"/>
          </w:rPr>
          <w:t xml:space="preserve"> </w:t>
        </w:r>
        <w:r w:rsidR="4C3C25A3" w:rsidRPr="5ED733AE">
          <w:rPr>
            <w:rStyle w:val="Hyperlink"/>
            <w:rFonts w:ascii="Times New Roman" w:eastAsia="Times New Roman" w:hAnsi="Times New Roman" w:cs="Times New Roman"/>
            <w:sz w:val="24"/>
            <w:szCs w:val="24"/>
          </w:rPr>
          <w:t>et al</w:t>
        </w:r>
        <w:r w:rsidR="0EC0826E" w:rsidRPr="5ED733AE">
          <w:rPr>
            <w:rStyle w:val="Hyperlink"/>
            <w:rFonts w:ascii="Times New Roman" w:eastAsia="Times New Roman" w:hAnsi="Times New Roman" w:cs="Times New Roman"/>
            <w:sz w:val="24"/>
            <w:szCs w:val="24"/>
          </w:rPr>
          <w:t>.</w:t>
        </w:r>
        <w:r w:rsidR="5ABB67B1" w:rsidRPr="5ED733AE">
          <w:rPr>
            <w:rStyle w:val="Hyperlink"/>
            <w:rFonts w:ascii="Times New Roman" w:eastAsia="Times New Roman" w:hAnsi="Times New Roman" w:cs="Times New Roman"/>
            <w:sz w:val="24"/>
            <w:szCs w:val="24"/>
          </w:rPr>
          <w:t xml:space="preserve"> 2012</w:t>
        </w:r>
      </w:hyperlink>
      <w:r w:rsidR="5ABB67B1" w:rsidRPr="5ED733AE">
        <w:rPr>
          <w:rFonts w:ascii="Times New Roman" w:eastAsia="Times New Roman" w:hAnsi="Times New Roman" w:cs="Times New Roman"/>
          <w:sz w:val="24"/>
          <w:szCs w:val="24"/>
        </w:rPr>
        <w:t>).</w:t>
      </w:r>
      <w:r w:rsidR="51855BF7" w:rsidRPr="5ED733AE">
        <w:rPr>
          <w:rFonts w:ascii="Times New Roman" w:eastAsia="Times New Roman" w:hAnsi="Times New Roman" w:cs="Times New Roman"/>
          <w:sz w:val="24"/>
          <w:szCs w:val="24"/>
        </w:rPr>
        <w:t xml:space="preserve"> </w:t>
      </w:r>
      <w:r w:rsidR="502C4401" w:rsidRPr="5ED733AE">
        <w:rPr>
          <w:rFonts w:ascii="Times New Roman" w:eastAsia="Times New Roman" w:hAnsi="Times New Roman" w:cs="Times New Roman"/>
          <w:sz w:val="24"/>
          <w:szCs w:val="24"/>
        </w:rPr>
        <w:t>Burnout leads to an increase in errors and a reduction in care quality</w:t>
      </w:r>
      <w:r w:rsidR="03B08553" w:rsidRPr="5ED733AE">
        <w:rPr>
          <w:rFonts w:ascii="Times New Roman" w:eastAsia="Times New Roman" w:hAnsi="Times New Roman" w:cs="Times New Roman"/>
          <w:sz w:val="24"/>
          <w:szCs w:val="24"/>
        </w:rPr>
        <w:t xml:space="preserve"> (</w:t>
      </w:r>
      <w:hyperlink r:id="rId15">
        <w:r w:rsidR="03B08553" w:rsidRPr="5ED733AE">
          <w:rPr>
            <w:rStyle w:val="Hyperlink"/>
            <w:rFonts w:ascii="Times New Roman" w:eastAsia="Times New Roman" w:hAnsi="Times New Roman" w:cs="Times New Roman"/>
            <w:sz w:val="24"/>
            <w:szCs w:val="24"/>
          </w:rPr>
          <w:t>West et al</w:t>
        </w:r>
        <w:r w:rsidR="502C4401" w:rsidRPr="5ED733AE">
          <w:rPr>
            <w:rStyle w:val="Hyperlink"/>
            <w:rFonts w:ascii="Times New Roman" w:eastAsia="Times New Roman" w:hAnsi="Times New Roman" w:cs="Times New Roman"/>
            <w:sz w:val="24"/>
            <w:szCs w:val="24"/>
          </w:rPr>
          <w:t>.</w:t>
        </w:r>
        <w:r w:rsidR="47421032" w:rsidRPr="5ED733AE">
          <w:rPr>
            <w:rStyle w:val="Hyperlink"/>
            <w:rFonts w:ascii="Times New Roman" w:eastAsia="Times New Roman" w:hAnsi="Times New Roman" w:cs="Times New Roman"/>
            <w:sz w:val="24"/>
            <w:szCs w:val="24"/>
          </w:rPr>
          <w:t xml:space="preserve"> 2006</w:t>
        </w:r>
      </w:hyperlink>
      <w:r w:rsidR="47421032" w:rsidRPr="5ED733AE">
        <w:rPr>
          <w:rFonts w:ascii="Times New Roman" w:eastAsia="Times New Roman" w:hAnsi="Times New Roman" w:cs="Times New Roman"/>
          <w:sz w:val="24"/>
          <w:szCs w:val="24"/>
        </w:rPr>
        <w:t>;</w:t>
      </w:r>
      <w:r w:rsidR="502C4401" w:rsidRPr="5ED733AE">
        <w:rPr>
          <w:rFonts w:ascii="Times New Roman" w:eastAsia="Times New Roman" w:hAnsi="Times New Roman" w:cs="Times New Roman"/>
          <w:sz w:val="24"/>
          <w:szCs w:val="24"/>
        </w:rPr>
        <w:t xml:space="preserve"> </w:t>
      </w:r>
      <w:hyperlink r:id="rId16">
        <w:r w:rsidR="30EBB45E" w:rsidRPr="5ED733AE">
          <w:rPr>
            <w:rStyle w:val="Hyperlink"/>
            <w:rFonts w:ascii="Times New Roman" w:eastAsia="Times New Roman" w:hAnsi="Times New Roman" w:cs="Times New Roman"/>
            <w:sz w:val="24"/>
            <w:szCs w:val="24"/>
          </w:rPr>
          <w:t>Williams et al. 2007</w:t>
        </w:r>
      </w:hyperlink>
      <w:r w:rsidR="30EBB45E" w:rsidRPr="5ED733AE">
        <w:rPr>
          <w:rFonts w:ascii="Times New Roman" w:eastAsia="Times New Roman" w:hAnsi="Times New Roman" w:cs="Times New Roman"/>
          <w:sz w:val="24"/>
          <w:szCs w:val="24"/>
        </w:rPr>
        <w:t>)</w:t>
      </w:r>
      <w:r w:rsidR="1DC6ACB5" w:rsidRPr="5ED733AE">
        <w:rPr>
          <w:rFonts w:ascii="Times New Roman" w:eastAsia="Times New Roman" w:hAnsi="Times New Roman" w:cs="Times New Roman"/>
          <w:sz w:val="24"/>
          <w:szCs w:val="24"/>
        </w:rPr>
        <w:t>.</w:t>
      </w:r>
      <w:r w:rsidR="7C6837EE" w:rsidRPr="5ED733AE">
        <w:rPr>
          <w:rFonts w:ascii="Times New Roman" w:eastAsia="Times New Roman" w:hAnsi="Times New Roman" w:cs="Times New Roman"/>
          <w:sz w:val="24"/>
          <w:szCs w:val="24"/>
        </w:rPr>
        <w:t xml:space="preserve"> </w:t>
      </w:r>
      <w:r w:rsidR="442B4B77" w:rsidRPr="5ED733AE">
        <w:rPr>
          <w:rFonts w:ascii="Times New Roman" w:eastAsia="Times New Roman" w:hAnsi="Times New Roman" w:cs="Times New Roman"/>
          <w:sz w:val="24"/>
          <w:szCs w:val="24"/>
        </w:rPr>
        <w:t>Therefore, creating tool</w:t>
      </w:r>
      <w:r w:rsidR="78DDE2E0" w:rsidRPr="5ED733AE">
        <w:rPr>
          <w:rFonts w:ascii="Times New Roman" w:eastAsia="Times New Roman" w:hAnsi="Times New Roman" w:cs="Times New Roman"/>
          <w:sz w:val="24"/>
          <w:szCs w:val="24"/>
        </w:rPr>
        <w:t>s</w:t>
      </w:r>
      <w:r w:rsidR="442B4B77" w:rsidRPr="5ED733AE">
        <w:rPr>
          <w:rFonts w:ascii="Times New Roman" w:eastAsia="Times New Roman" w:hAnsi="Times New Roman" w:cs="Times New Roman"/>
          <w:sz w:val="24"/>
          <w:szCs w:val="24"/>
        </w:rPr>
        <w:t xml:space="preserve"> to </w:t>
      </w:r>
      <w:r w:rsidR="6FCF8C9E" w:rsidRPr="5ED733AE">
        <w:rPr>
          <w:rFonts w:ascii="Times New Roman" w:eastAsia="Times New Roman" w:hAnsi="Times New Roman" w:cs="Times New Roman"/>
          <w:sz w:val="24"/>
          <w:szCs w:val="24"/>
        </w:rPr>
        <w:t xml:space="preserve">reduce the workload of </w:t>
      </w:r>
      <w:r w:rsidR="442B4B77" w:rsidRPr="5ED733AE">
        <w:rPr>
          <w:rFonts w:ascii="Times New Roman" w:eastAsia="Times New Roman" w:hAnsi="Times New Roman" w:cs="Times New Roman"/>
          <w:sz w:val="24"/>
          <w:szCs w:val="24"/>
        </w:rPr>
        <w:t>physicians</w:t>
      </w:r>
      <w:r w:rsidR="6F18CFEE" w:rsidRPr="5ED733AE">
        <w:rPr>
          <w:rFonts w:ascii="Times New Roman" w:eastAsia="Times New Roman" w:hAnsi="Times New Roman" w:cs="Times New Roman"/>
          <w:sz w:val="24"/>
          <w:szCs w:val="24"/>
        </w:rPr>
        <w:t xml:space="preserve"> will reduce burnout, which leads to an improvement in patient care and a reduction in medical errors.</w:t>
      </w:r>
      <w:r w:rsidR="3FF415D0" w:rsidRPr="5ED733AE">
        <w:rPr>
          <w:rFonts w:ascii="Times New Roman" w:eastAsia="Times New Roman" w:hAnsi="Times New Roman" w:cs="Times New Roman"/>
          <w:sz w:val="24"/>
          <w:szCs w:val="24"/>
        </w:rPr>
        <w:t xml:space="preserve"> </w:t>
      </w:r>
    </w:p>
    <w:p w14:paraId="68A7BA2D" w14:textId="75113144" w:rsidR="45968F89" w:rsidRDefault="2EEFF9D8" w:rsidP="5ED733AE">
      <w:pPr>
        <w:pStyle w:val="Heading2"/>
        <w:rPr>
          <w:rFonts w:ascii="Times New Roman" w:eastAsia="Times New Roman" w:hAnsi="Times New Roman" w:cs="Times New Roman"/>
          <w:b/>
          <w:bCs/>
          <w:sz w:val="28"/>
          <w:szCs w:val="28"/>
        </w:rPr>
      </w:pPr>
      <w:bookmarkStart w:id="2" w:name="_Toc1180186092"/>
      <w:r>
        <w:t>Research Problem</w:t>
      </w:r>
      <w:bookmarkEnd w:id="2"/>
    </w:p>
    <w:p w14:paraId="3C0B5139" w14:textId="16F3C856" w:rsidR="00299C99" w:rsidRDefault="00299C99" w:rsidP="0CB902B4">
      <w:pPr>
        <w:ind w:firstLine="720"/>
        <w:rPr>
          <w:rFonts w:ascii="Times New Roman" w:eastAsia="Times New Roman" w:hAnsi="Times New Roman" w:cs="Times New Roman"/>
          <w:sz w:val="24"/>
          <w:szCs w:val="24"/>
        </w:rPr>
      </w:pPr>
      <w:r w:rsidRPr="0CB902B4">
        <w:rPr>
          <w:rFonts w:ascii="Times New Roman" w:eastAsia="Times New Roman" w:hAnsi="Times New Roman" w:cs="Times New Roman"/>
          <w:sz w:val="24"/>
          <w:szCs w:val="24"/>
        </w:rPr>
        <w:t>In a radiology report, the "Findings" section presents the observations made by the radiologist during the examination of the imaging studies. This section provides a detailed description of the abnormalities, if any, detected in the images. It typically includes information such as the size, location, shape, and characteristics of any lesions, masses, fractures, or other abnormalities found in the images.</w:t>
      </w:r>
      <w:r w:rsidR="069032FD" w:rsidRPr="0CB902B4">
        <w:rPr>
          <w:rFonts w:ascii="Times New Roman" w:eastAsia="Times New Roman" w:hAnsi="Times New Roman" w:cs="Times New Roman"/>
          <w:sz w:val="24"/>
          <w:szCs w:val="24"/>
        </w:rPr>
        <w:t xml:space="preserve"> The "Impression" section</w:t>
      </w:r>
      <w:r w:rsidR="770CD097" w:rsidRPr="0CB902B4">
        <w:rPr>
          <w:rFonts w:ascii="Times New Roman" w:eastAsia="Times New Roman" w:hAnsi="Times New Roman" w:cs="Times New Roman"/>
          <w:sz w:val="24"/>
          <w:szCs w:val="24"/>
        </w:rPr>
        <w:t xml:space="preserve"> </w:t>
      </w:r>
      <w:r w:rsidR="069032FD" w:rsidRPr="0CB902B4">
        <w:rPr>
          <w:rFonts w:ascii="Times New Roman" w:eastAsia="Times New Roman" w:hAnsi="Times New Roman" w:cs="Times New Roman"/>
          <w:sz w:val="24"/>
          <w:szCs w:val="24"/>
        </w:rPr>
        <w:t>offers a synthesized interpretation of these findings, aiding in clinical decision-making and patient management</w:t>
      </w:r>
      <w:r w:rsidR="1792DD9B" w:rsidRPr="0CB902B4">
        <w:rPr>
          <w:rFonts w:ascii="Times New Roman" w:eastAsia="Times New Roman" w:hAnsi="Times New Roman" w:cs="Times New Roman"/>
          <w:sz w:val="24"/>
          <w:szCs w:val="24"/>
        </w:rPr>
        <w:t>, which is why it is considered the most important part of the report.</w:t>
      </w:r>
    </w:p>
    <w:p w14:paraId="3FE90A64" w14:textId="77C97C68" w:rsidR="065EBA90" w:rsidRDefault="4B7C0FA9"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Recognizing the substantial time investment radiologists allocate to crafting impressions, this paper proposes leveraging open-sourced pre-trained Large Language Models (LLMs) to expedite the generation of personalized impressions. By incorporating both the findings section and pertinent clinical data, such as patient information, into the LLMs' framework, the proposed approach seeks to produce impressions that align with individual radiologists' unique writing styles while ensuring factual correctness.</w:t>
      </w:r>
    </w:p>
    <w:p w14:paraId="576B111F" w14:textId="56C93CAB" w:rsidR="065EBA90" w:rsidRDefault="2AABBE19"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The adoption of LLMs promises manifold benefits. Firstly, it streamlines the radiology reporting process, enabling radiologists to redirect their attention towards direct patient care, thereby potentially expanding patient outreach. Additionally, by alleviating the burden associated with impression creation, the proposed methodology holds promise in mitigating radiologist burnout</w:t>
      </w:r>
      <w:r w:rsidR="4A58179A" w:rsidRPr="696B04C5">
        <w:rPr>
          <w:rFonts w:ascii="Times New Roman" w:eastAsia="Times New Roman" w:hAnsi="Times New Roman" w:cs="Times New Roman"/>
          <w:sz w:val="24"/>
          <w:szCs w:val="24"/>
        </w:rPr>
        <w:t xml:space="preserve"> </w:t>
      </w:r>
      <w:r w:rsidRPr="696B04C5">
        <w:rPr>
          <w:rFonts w:ascii="Times New Roman" w:eastAsia="Times New Roman" w:hAnsi="Times New Roman" w:cs="Times New Roman"/>
          <w:sz w:val="24"/>
          <w:szCs w:val="24"/>
        </w:rPr>
        <w:t>with its attendant negative ramifications.</w:t>
      </w:r>
    </w:p>
    <w:p w14:paraId="0CB83448" w14:textId="13F2049B" w:rsidR="065EBA90" w:rsidRDefault="57469C01" w:rsidP="5ED733AE">
      <w:pPr>
        <w:pStyle w:val="Heading2"/>
        <w:rPr>
          <w:rFonts w:ascii="Times New Roman" w:eastAsia="Times New Roman" w:hAnsi="Times New Roman" w:cs="Times New Roman"/>
          <w:b/>
          <w:bCs/>
          <w:sz w:val="28"/>
          <w:szCs w:val="28"/>
        </w:rPr>
      </w:pPr>
      <w:bookmarkStart w:id="3" w:name="_Toc1491610967"/>
      <w:r>
        <w:t>Goals of Analysis</w:t>
      </w:r>
      <w:bookmarkEnd w:id="3"/>
    </w:p>
    <w:p w14:paraId="3D8A49F4" w14:textId="1E97D659" w:rsidR="506104B7" w:rsidRDefault="4AB44EFC" w:rsidP="696B04C5">
      <w:pPr>
        <w:ind w:firstLine="720"/>
        <w:rPr>
          <w:rFonts w:ascii="Times New Roman" w:eastAsia="Times New Roman" w:hAnsi="Times New Roman" w:cs="Times New Roman"/>
          <w:b/>
          <w:bCs/>
          <w:sz w:val="28"/>
          <w:szCs w:val="28"/>
        </w:rPr>
      </w:pPr>
      <w:r w:rsidRPr="696B04C5">
        <w:rPr>
          <w:rFonts w:ascii="Times New Roman" w:eastAsia="Times New Roman" w:hAnsi="Times New Roman" w:cs="Times New Roman"/>
          <w:sz w:val="24"/>
          <w:szCs w:val="24"/>
        </w:rPr>
        <w:t xml:space="preserve">This paper proposes a methodological approach centered on fine-tuning a selection of open-sourced pre-trained LLMs using radiology reports sourced from the University of Chicago (UC) Medicine. The objective is to generate impressions of high quality that are both factually accurate and tailored to individual preferences. </w:t>
      </w:r>
    </w:p>
    <w:p w14:paraId="34C7B1BA" w14:textId="7173CB69" w:rsidR="506104B7" w:rsidRDefault="31F4F755"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This paper leverages open-source LLMs to ensure the accessibility of our research framework to a broad audience.</w:t>
      </w:r>
      <w:r w:rsidR="04FE6F48" w:rsidRPr="696B04C5">
        <w:rPr>
          <w:rFonts w:ascii="Times New Roman" w:eastAsia="Times New Roman" w:hAnsi="Times New Roman" w:cs="Times New Roman"/>
          <w:sz w:val="24"/>
          <w:szCs w:val="24"/>
        </w:rPr>
        <w:t xml:space="preserve"> We explore the utilization of LLMs with varying sizes and architectures, including </w:t>
      </w:r>
      <w:proofErr w:type="spellStart"/>
      <w:r w:rsidR="04FE6F48" w:rsidRPr="696B04C5">
        <w:rPr>
          <w:rFonts w:ascii="Times New Roman" w:eastAsia="Times New Roman" w:hAnsi="Times New Roman" w:cs="Times New Roman"/>
          <w:sz w:val="24"/>
          <w:szCs w:val="24"/>
        </w:rPr>
        <w:t>LLaMA</w:t>
      </w:r>
      <w:proofErr w:type="spellEnd"/>
      <w:r w:rsidR="04FE6F48" w:rsidRPr="696B04C5">
        <w:rPr>
          <w:rFonts w:ascii="Times New Roman" w:eastAsia="Times New Roman" w:hAnsi="Times New Roman" w:cs="Times New Roman"/>
          <w:sz w:val="24"/>
          <w:szCs w:val="24"/>
        </w:rPr>
        <w:t xml:space="preserve"> 3B, </w:t>
      </w:r>
      <w:proofErr w:type="spellStart"/>
      <w:r w:rsidR="04FE6F48" w:rsidRPr="696B04C5">
        <w:rPr>
          <w:rFonts w:ascii="Times New Roman" w:eastAsia="Times New Roman" w:hAnsi="Times New Roman" w:cs="Times New Roman"/>
          <w:sz w:val="24"/>
          <w:szCs w:val="24"/>
        </w:rPr>
        <w:t>LLaMA</w:t>
      </w:r>
      <w:proofErr w:type="spellEnd"/>
      <w:r w:rsidR="04FE6F48" w:rsidRPr="696B04C5">
        <w:rPr>
          <w:rFonts w:ascii="Times New Roman" w:eastAsia="Times New Roman" w:hAnsi="Times New Roman" w:cs="Times New Roman"/>
          <w:sz w:val="24"/>
          <w:szCs w:val="24"/>
        </w:rPr>
        <w:t xml:space="preserve"> 7B, and Mistral 7B, to strike a balance between computational efficiency and accuracy.</w:t>
      </w:r>
      <w:r w:rsidRPr="696B04C5">
        <w:rPr>
          <w:rFonts w:ascii="Times New Roman" w:eastAsia="Times New Roman" w:hAnsi="Times New Roman" w:cs="Times New Roman"/>
          <w:sz w:val="24"/>
          <w:szCs w:val="24"/>
        </w:rPr>
        <w:t xml:space="preserve"> </w:t>
      </w:r>
    </w:p>
    <w:p w14:paraId="21E242D1" w14:textId="29A57558" w:rsidR="506104B7" w:rsidRDefault="2D058DDF"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lastRenderedPageBreak/>
        <w:t xml:space="preserve">Recognizing the diversity in radiologists' writing styles—ranging from succinct to elaborate and encompassing structural preferences such as bullet points—the study endeavors to employ reinforcement learning from human feedback (RLHF) to achieve personalization. This approach empowers radiologists to select the reporting style that best suits their preferences and enhances their workflow efficiency. </w:t>
      </w:r>
    </w:p>
    <w:p w14:paraId="405AF17A" w14:textId="2FBEA50B" w:rsidR="506104B7" w:rsidRDefault="2D058DDF"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 xml:space="preserve">Ensuring the factual correctness of generated impressions poses a critical challenge, particularly given the limitations of traditional text evaluation methods such as string-matching and n-gram-based metrics like ROUGE and BLEU. These metrics may yield inflated scores for generated text that diverges significantly from the intended meaning. To address this issue, a reinforcement learning framework is proposed to train the model in generating factually accurate impressions while mitigating the occurrence of hallucinations—a phenomenon where the model produces outputs that lack </w:t>
      </w:r>
      <w:proofErr w:type="gramStart"/>
      <w:r w:rsidRPr="696B04C5">
        <w:rPr>
          <w:rFonts w:ascii="Times New Roman" w:eastAsia="Times New Roman" w:hAnsi="Times New Roman" w:cs="Times New Roman"/>
          <w:sz w:val="24"/>
          <w:szCs w:val="24"/>
        </w:rPr>
        <w:t>grounding in reality</w:t>
      </w:r>
      <w:proofErr w:type="gramEnd"/>
      <w:r w:rsidRPr="696B04C5">
        <w:rPr>
          <w:rFonts w:ascii="Times New Roman" w:eastAsia="Times New Roman" w:hAnsi="Times New Roman" w:cs="Times New Roman"/>
          <w:sz w:val="24"/>
          <w:szCs w:val="24"/>
        </w:rPr>
        <w:t>.</w:t>
      </w:r>
    </w:p>
    <w:p w14:paraId="20D44FDE" w14:textId="6E8FCC1F" w:rsidR="506104B7" w:rsidRDefault="7696F792" w:rsidP="696B04C5">
      <w:pPr>
        <w:ind w:firstLine="720"/>
        <w:rPr>
          <w:rFonts w:ascii="Times New Roman" w:eastAsia="Times New Roman" w:hAnsi="Times New Roman" w:cs="Times New Roman"/>
          <w:sz w:val="24"/>
          <w:szCs w:val="24"/>
        </w:rPr>
      </w:pPr>
      <w:r w:rsidRPr="5ED733AE">
        <w:rPr>
          <w:rFonts w:ascii="Times New Roman" w:eastAsia="Times New Roman" w:hAnsi="Times New Roman" w:cs="Times New Roman"/>
          <w:sz w:val="24"/>
          <w:szCs w:val="24"/>
        </w:rPr>
        <w:t>By integrating these methodological components, the study aims to advance the development of LLM-based frameworks for radiology reporting, fostering improved efficiency, personalization, and accuracy in clinical practice.</w:t>
      </w:r>
    </w:p>
    <w:p w14:paraId="40B48393" w14:textId="3F1C173C" w:rsidR="45E04DDA" w:rsidRDefault="45E04DDA" w:rsidP="5ED733AE">
      <w:pPr>
        <w:pStyle w:val="Heading1"/>
        <w:jc w:val="center"/>
      </w:pPr>
      <w:bookmarkStart w:id="4" w:name="_Toc128708388"/>
      <w:r>
        <w:t>Background</w:t>
      </w:r>
      <w:bookmarkEnd w:id="4"/>
    </w:p>
    <w:p w14:paraId="7C51846D" w14:textId="54E6551C" w:rsidR="2FE3CC61" w:rsidRDefault="4FB1FBE5" w:rsidP="5ED733AE">
      <w:pPr>
        <w:pStyle w:val="Heading2"/>
        <w:rPr>
          <w:rFonts w:ascii="Times New Roman" w:eastAsia="Times New Roman" w:hAnsi="Times New Roman" w:cs="Times New Roman"/>
          <w:b/>
          <w:bCs/>
          <w:sz w:val="28"/>
          <w:szCs w:val="28"/>
        </w:rPr>
      </w:pPr>
      <w:bookmarkStart w:id="5" w:name="_Toc1558204985"/>
      <w:r>
        <w:t>Literature review</w:t>
      </w:r>
      <w:bookmarkEnd w:id="5"/>
      <w:r>
        <w:t xml:space="preserve"> </w:t>
      </w:r>
    </w:p>
    <w:p w14:paraId="156F218E" w14:textId="5A9CA98D" w:rsidR="653A90AD" w:rsidRDefault="2411B1C2" w:rsidP="5ED733AE">
      <w:pPr>
        <w:pStyle w:val="Heading3"/>
        <w:rPr>
          <w:rFonts w:ascii="Times New Roman" w:eastAsia="Times New Roman" w:hAnsi="Times New Roman" w:cs="Times New Roman"/>
          <w:b/>
          <w:bCs/>
        </w:rPr>
      </w:pPr>
      <w:bookmarkStart w:id="6" w:name="_Toc565777621"/>
      <w:r>
        <w:t>GPT and Impression Generation</w:t>
      </w:r>
      <w:bookmarkEnd w:id="6"/>
    </w:p>
    <w:p w14:paraId="227840F1" w14:textId="394FDC2E" w:rsidR="4938D8FC" w:rsidRDefault="00000000" w:rsidP="506104B7">
      <w:pPr>
        <w:ind w:firstLine="720"/>
        <w:rPr>
          <w:rFonts w:ascii="Times New Roman" w:eastAsia="Times New Roman" w:hAnsi="Times New Roman" w:cs="Times New Roman"/>
          <w:sz w:val="24"/>
          <w:szCs w:val="24"/>
        </w:rPr>
      </w:pPr>
      <w:hyperlink r:id="rId17">
        <w:proofErr w:type="spellStart"/>
        <w:r w:rsidR="4938D8FC" w:rsidRPr="0050098E">
          <w:rPr>
            <w:rStyle w:val="Hyperlink"/>
            <w:rFonts w:ascii="Times New Roman" w:eastAsia="Times New Roman" w:hAnsi="Times New Roman" w:cs="Times New Roman"/>
            <w:sz w:val="24"/>
            <w:szCs w:val="24"/>
            <w:lang w:val="da-DK"/>
          </w:rPr>
          <w:t>Ziegelmayer</w:t>
        </w:r>
        <w:proofErr w:type="spellEnd"/>
        <w:r w:rsidR="4938D8FC" w:rsidRPr="0050098E">
          <w:rPr>
            <w:rStyle w:val="Hyperlink"/>
            <w:rFonts w:ascii="Times New Roman" w:eastAsia="Times New Roman" w:hAnsi="Times New Roman" w:cs="Times New Roman"/>
            <w:sz w:val="24"/>
            <w:szCs w:val="24"/>
            <w:lang w:val="da-DK"/>
          </w:rPr>
          <w:t xml:space="preserve"> et al. 2023</w:t>
        </w:r>
      </w:hyperlink>
      <w:r w:rsidR="336661B2" w:rsidRPr="0050098E">
        <w:rPr>
          <w:rFonts w:ascii="Times New Roman" w:eastAsia="Times New Roman" w:hAnsi="Times New Roman" w:cs="Times New Roman"/>
          <w:sz w:val="24"/>
          <w:szCs w:val="24"/>
          <w:lang w:val="da-DK"/>
        </w:rPr>
        <w:t xml:space="preserve"> </w:t>
      </w:r>
      <w:r w:rsidR="12B8D44B" w:rsidRPr="0050098E">
        <w:rPr>
          <w:rFonts w:ascii="Times New Roman" w:eastAsia="Times New Roman" w:hAnsi="Times New Roman" w:cs="Times New Roman"/>
          <w:sz w:val="24"/>
          <w:szCs w:val="24"/>
          <w:lang w:val="da-DK"/>
        </w:rPr>
        <w:t xml:space="preserve">and </w:t>
      </w:r>
      <w:hyperlink r:id="rId18">
        <w:r w:rsidR="12B8D44B" w:rsidRPr="0050098E">
          <w:rPr>
            <w:rStyle w:val="Hyperlink"/>
            <w:rFonts w:ascii="Times New Roman" w:eastAsia="Times New Roman" w:hAnsi="Times New Roman" w:cs="Times New Roman"/>
            <w:sz w:val="24"/>
            <w:szCs w:val="24"/>
            <w:lang w:val="da-DK"/>
          </w:rPr>
          <w:t>Sun et al. 2023</w:t>
        </w:r>
      </w:hyperlink>
      <w:r w:rsidR="12B8D44B" w:rsidRPr="0050098E">
        <w:rPr>
          <w:rFonts w:ascii="Times New Roman" w:eastAsia="Times New Roman" w:hAnsi="Times New Roman" w:cs="Times New Roman"/>
          <w:sz w:val="24"/>
          <w:szCs w:val="24"/>
          <w:lang w:val="da-DK"/>
        </w:rPr>
        <w:t xml:space="preserve"> </w:t>
      </w:r>
      <w:proofErr w:type="spellStart"/>
      <w:r w:rsidR="4384B13A" w:rsidRPr="0050098E">
        <w:rPr>
          <w:rFonts w:ascii="Times New Roman" w:eastAsia="Times New Roman" w:hAnsi="Times New Roman" w:cs="Times New Roman"/>
          <w:sz w:val="24"/>
          <w:szCs w:val="24"/>
          <w:lang w:val="da-DK"/>
        </w:rPr>
        <w:t>Ziegelmayer</w:t>
      </w:r>
      <w:proofErr w:type="spellEnd"/>
      <w:r w:rsidR="4384B13A" w:rsidRPr="0050098E">
        <w:rPr>
          <w:rFonts w:ascii="Times New Roman" w:eastAsia="Times New Roman" w:hAnsi="Times New Roman" w:cs="Times New Roman"/>
          <w:sz w:val="24"/>
          <w:szCs w:val="24"/>
          <w:lang w:val="da-DK"/>
        </w:rPr>
        <w:t xml:space="preserve"> et al. (2023) and Sun et al. </w:t>
      </w:r>
      <w:r w:rsidR="4384B13A" w:rsidRPr="506104B7">
        <w:rPr>
          <w:rFonts w:ascii="Times New Roman" w:eastAsia="Times New Roman" w:hAnsi="Times New Roman" w:cs="Times New Roman"/>
          <w:sz w:val="24"/>
          <w:szCs w:val="24"/>
        </w:rPr>
        <w:t xml:space="preserve">(2023) explored the potential of GPT-4, a large language model, to generate radiology impression reports using zero-shot learning. In their studies, the researchers compared impressions crafted by GPT-4 based on prompts containing findings sections, images, or both, with those generated by radiologists. For evaluation, radiologist, physician's assessments, and common automatic evaluation metrics like Bleu, </w:t>
      </w:r>
      <w:proofErr w:type="spellStart"/>
      <w:r w:rsidR="4384B13A" w:rsidRPr="506104B7">
        <w:rPr>
          <w:rFonts w:ascii="Times New Roman" w:eastAsia="Times New Roman" w:hAnsi="Times New Roman" w:cs="Times New Roman"/>
          <w:sz w:val="24"/>
          <w:szCs w:val="24"/>
        </w:rPr>
        <w:t>RadCliQ</w:t>
      </w:r>
      <w:proofErr w:type="spellEnd"/>
      <w:r w:rsidR="4384B13A" w:rsidRPr="506104B7">
        <w:rPr>
          <w:rFonts w:ascii="Times New Roman" w:eastAsia="Times New Roman" w:hAnsi="Times New Roman" w:cs="Times New Roman"/>
          <w:sz w:val="24"/>
          <w:szCs w:val="24"/>
        </w:rPr>
        <w:t xml:space="preserve">, and </w:t>
      </w:r>
      <w:proofErr w:type="spellStart"/>
      <w:r w:rsidR="4384B13A" w:rsidRPr="506104B7">
        <w:rPr>
          <w:rFonts w:ascii="Times New Roman" w:eastAsia="Times New Roman" w:hAnsi="Times New Roman" w:cs="Times New Roman"/>
          <w:sz w:val="24"/>
          <w:szCs w:val="24"/>
        </w:rPr>
        <w:t>RadGraph</w:t>
      </w:r>
      <w:proofErr w:type="spellEnd"/>
      <w:r w:rsidR="4384B13A" w:rsidRPr="506104B7">
        <w:rPr>
          <w:rFonts w:ascii="Times New Roman" w:eastAsia="Times New Roman" w:hAnsi="Times New Roman" w:cs="Times New Roman"/>
          <w:sz w:val="24"/>
          <w:szCs w:val="24"/>
        </w:rPr>
        <w:t xml:space="preserve"> were employed.</w:t>
      </w:r>
    </w:p>
    <w:p w14:paraId="51693FDA" w14:textId="66FBE9C4" w:rsidR="4384B13A" w:rsidRDefault="4384B13A" w:rsidP="506104B7">
      <w:pPr>
        <w:ind w:firstLine="720"/>
      </w:pPr>
      <w:r w:rsidRPr="506104B7">
        <w:rPr>
          <w:rFonts w:ascii="Times New Roman" w:eastAsia="Times New Roman" w:hAnsi="Times New Roman" w:cs="Times New Roman"/>
          <w:sz w:val="24"/>
          <w:szCs w:val="24"/>
        </w:rPr>
        <w:t>The findings highlight both promise and areas for improvement. Radiologists consistently rated their own impressions higher in terms of coherence, comprehensiveness, factual consistency, and potential for causing medical harm compared to GPT-4 impressions generated using only findings sections. However, post-hoc analysis revealed that these differences were not statistically significant. Interestingly, radiologists displayed a relatively low accuracy of just 61% in identifying AI-generated impressions derived from findings sections. This suggests that GPT-4, even without specific training on radiology reports, can produce outputs that mimic human-written impressions to a certain extent.</w:t>
      </w:r>
    </w:p>
    <w:p w14:paraId="1E78657C" w14:textId="0B716510" w:rsidR="4384B13A" w:rsidRDefault="4384B13A" w:rsidP="506104B7">
      <w:pPr>
        <w:ind w:firstLine="720"/>
        <w:rPr>
          <w:rFonts w:ascii="Times New Roman" w:eastAsia="Times New Roman" w:hAnsi="Times New Roman" w:cs="Times New Roman"/>
          <w:sz w:val="24"/>
          <w:szCs w:val="24"/>
        </w:rPr>
      </w:pPr>
      <w:r w:rsidRPr="506104B7">
        <w:rPr>
          <w:rFonts w:ascii="Times New Roman" w:eastAsia="Times New Roman" w:hAnsi="Times New Roman" w:cs="Times New Roman"/>
          <w:sz w:val="24"/>
          <w:szCs w:val="24"/>
        </w:rPr>
        <w:t>Another intriguing finding is the potential presence of bias. Even when radiologists themselves generated the impressions, those perceived as AI-generated received lower radiological scores. This suggests that radiologists might hold preconceived notions about the quality of AI-generated text, potentially influencing their assessment even of human-written reports. Furthermore, there were significant discrepancies between the radiological assessments and the scores generated by conventional automatic evaluation methods</w:t>
      </w:r>
      <w:r w:rsidR="1ABB8BB8" w:rsidRPr="506104B7">
        <w:rPr>
          <w:rFonts w:ascii="Times New Roman" w:eastAsia="Times New Roman" w:hAnsi="Times New Roman" w:cs="Times New Roman"/>
          <w:sz w:val="24"/>
          <w:szCs w:val="24"/>
        </w:rPr>
        <w:t xml:space="preserve"> and physicians</w:t>
      </w:r>
      <w:r w:rsidRPr="506104B7">
        <w:rPr>
          <w:rFonts w:ascii="Times New Roman" w:eastAsia="Times New Roman" w:hAnsi="Times New Roman" w:cs="Times New Roman"/>
          <w:sz w:val="24"/>
          <w:szCs w:val="24"/>
        </w:rPr>
        <w:t xml:space="preserve">. This </w:t>
      </w:r>
      <w:r w:rsidRPr="506104B7">
        <w:rPr>
          <w:rFonts w:ascii="Times New Roman" w:eastAsia="Times New Roman" w:hAnsi="Times New Roman" w:cs="Times New Roman"/>
          <w:sz w:val="24"/>
          <w:szCs w:val="24"/>
        </w:rPr>
        <w:lastRenderedPageBreak/>
        <w:t>underscores the need for further development of evaluation metrics specifically tailored to the nuances of radiology impression generation.</w:t>
      </w:r>
    </w:p>
    <w:p w14:paraId="5174FEEB" w14:textId="370527A3" w:rsidR="4384B13A" w:rsidRDefault="4384B13A" w:rsidP="506104B7">
      <w:pPr>
        <w:ind w:firstLine="720"/>
        <w:rPr>
          <w:rFonts w:ascii="Times New Roman" w:eastAsia="Times New Roman" w:hAnsi="Times New Roman" w:cs="Times New Roman"/>
          <w:sz w:val="24"/>
          <w:szCs w:val="24"/>
        </w:rPr>
      </w:pPr>
      <w:r w:rsidRPr="506104B7">
        <w:rPr>
          <w:rFonts w:ascii="Times New Roman" w:eastAsia="Times New Roman" w:hAnsi="Times New Roman" w:cs="Times New Roman"/>
          <w:sz w:val="24"/>
          <w:szCs w:val="24"/>
        </w:rPr>
        <w:t xml:space="preserve">A limitation of both studies is the use of small, non-diverse datasets. Despite this limitation, the research offers promising insights. The fact that even a zero-shot learning model with restricted data achieved acceptable performance suggests significant potential for </w:t>
      </w:r>
      <w:r w:rsidR="7A0DFE50" w:rsidRPr="506104B7">
        <w:rPr>
          <w:rFonts w:ascii="Times New Roman" w:eastAsia="Times New Roman" w:hAnsi="Times New Roman" w:cs="Times New Roman"/>
          <w:sz w:val="24"/>
          <w:szCs w:val="24"/>
        </w:rPr>
        <w:t>LLMs</w:t>
      </w:r>
      <w:r w:rsidRPr="506104B7">
        <w:rPr>
          <w:rFonts w:ascii="Times New Roman" w:eastAsia="Times New Roman" w:hAnsi="Times New Roman" w:cs="Times New Roman"/>
          <w:sz w:val="24"/>
          <w:szCs w:val="24"/>
        </w:rPr>
        <w:t xml:space="preserve"> in this domain. </w:t>
      </w:r>
      <w:r w:rsidR="40CE7B9D" w:rsidRPr="506104B7">
        <w:rPr>
          <w:rFonts w:ascii="Times New Roman" w:eastAsia="Times New Roman" w:hAnsi="Times New Roman" w:cs="Times New Roman"/>
          <w:sz w:val="24"/>
          <w:szCs w:val="24"/>
        </w:rPr>
        <w:t xml:space="preserve">A fine-tuned Large Language Model (LLM) leveraging a more expansive and varied dataset </w:t>
      </w:r>
      <w:r w:rsidRPr="506104B7">
        <w:rPr>
          <w:rFonts w:ascii="Times New Roman" w:eastAsia="Times New Roman" w:hAnsi="Times New Roman" w:cs="Times New Roman"/>
          <w:sz w:val="24"/>
          <w:szCs w:val="24"/>
        </w:rPr>
        <w:t>has the potential to significantly improve the quality and accuracy of AI-generated radiology impressions.</w:t>
      </w:r>
    </w:p>
    <w:p w14:paraId="1BF323B8" w14:textId="59AAB9C6" w:rsidR="50C7D70A" w:rsidRDefault="595526DB" w:rsidP="5ED733AE">
      <w:pPr>
        <w:pStyle w:val="Heading3"/>
        <w:rPr>
          <w:rFonts w:ascii="Times New Roman" w:eastAsia="Times New Roman" w:hAnsi="Times New Roman" w:cs="Times New Roman"/>
          <w:b/>
          <w:bCs/>
        </w:rPr>
      </w:pPr>
      <w:bookmarkStart w:id="7" w:name="_Toc269235332"/>
      <w:r>
        <w:t>Open-Sourced LLMs and Impression</w:t>
      </w:r>
      <w:bookmarkEnd w:id="7"/>
    </w:p>
    <w:p w14:paraId="59E2E050" w14:textId="15221304" w:rsidR="2FE50E24" w:rsidRDefault="00000000" w:rsidP="72AE07C6">
      <w:pPr>
        <w:ind w:firstLine="720"/>
        <w:rPr>
          <w:rFonts w:ascii="Times New Roman" w:eastAsia="Times New Roman" w:hAnsi="Times New Roman" w:cs="Times New Roman"/>
          <w:sz w:val="24"/>
          <w:szCs w:val="24"/>
        </w:rPr>
      </w:pPr>
      <w:hyperlink r:id="rId19">
        <w:r w:rsidR="3D89C7C4" w:rsidRPr="72AE07C6">
          <w:rPr>
            <w:rStyle w:val="Hyperlink"/>
            <w:rFonts w:ascii="Times New Roman" w:eastAsia="Times New Roman" w:hAnsi="Times New Roman" w:cs="Times New Roman"/>
            <w:sz w:val="24"/>
            <w:szCs w:val="24"/>
          </w:rPr>
          <w:t>Hu et al. 2022</w:t>
        </w:r>
      </w:hyperlink>
      <w:r w:rsidR="221A738B" w:rsidRPr="72AE07C6">
        <w:rPr>
          <w:rFonts w:ascii="Times New Roman" w:eastAsia="Times New Roman" w:hAnsi="Times New Roman" w:cs="Times New Roman"/>
          <w:sz w:val="24"/>
          <w:szCs w:val="24"/>
        </w:rPr>
        <w:t xml:space="preserve"> proposes an advanced method for generating automatic impressions from radiology reports. It uses 2 datasets: OPENI: Contains 3,268 radiology reports collected by Indiana University, used in a random split of 2400 train, 292 validation, and 576 test reports. And MIMIC-CXR: A larger dataset containing 124,577 reports used with both official and random splits. </w:t>
      </w:r>
    </w:p>
    <w:p w14:paraId="7FAA964D" w14:textId="44D96EA4" w:rsidR="2FE50E24" w:rsidRDefault="2FE50E24" w:rsidP="27987755">
      <w:pPr>
        <w:ind w:firstLine="720"/>
        <w:rPr>
          <w:rFonts w:ascii="Times New Roman" w:eastAsia="Times New Roman" w:hAnsi="Times New Roman" w:cs="Times New Roman"/>
          <w:sz w:val="24"/>
          <w:szCs w:val="24"/>
        </w:rPr>
      </w:pPr>
      <w:r w:rsidRPr="27987755">
        <w:rPr>
          <w:rFonts w:ascii="Times New Roman" w:eastAsia="Times New Roman" w:hAnsi="Times New Roman" w:cs="Times New Roman"/>
          <w:sz w:val="24"/>
          <w:szCs w:val="24"/>
        </w:rPr>
        <w:t xml:space="preserve">To deal with these 2 datasets, the researchers use text Encoding: Utilizes </w:t>
      </w:r>
      <w:proofErr w:type="spellStart"/>
      <w:r w:rsidRPr="27987755">
        <w:rPr>
          <w:rFonts w:ascii="Times New Roman" w:eastAsia="Times New Roman" w:hAnsi="Times New Roman" w:cs="Times New Roman"/>
          <w:sz w:val="24"/>
          <w:szCs w:val="24"/>
        </w:rPr>
        <w:t>BioBERT</w:t>
      </w:r>
      <w:proofErr w:type="spellEnd"/>
      <w:r w:rsidRPr="27987755">
        <w:rPr>
          <w:rFonts w:ascii="Times New Roman" w:eastAsia="Times New Roman" w:hAnsi="Times New Roman" w:cs="Times New Roman"/>
          <w:sz w:val="24"/>
          <w:szCs w:val="24"/>
        </w:rPr>
        <w:t xml:space="preserve"> pre-trained on biomedical texts to encode input findings into vector representations. Graph Construction: Forms a graph from the findings using extracted entities and their dependencies to model relationships among key terms. Graph Encoder: Employs Graph Neural Networks (GNNs) to encode relational information from the graph. Contrastive Learning Module: Implements contrastive learning to enhance the model's focus on critical information by comparing "positive" examples (where non-key words are masked) against "negative" examples (where key words are masked) and Sequence Generation: The decoder, a Transformer-based model, generates the final summary based on the enhanced embeddings provided by the graph and contrastive encoders.</w:t>
      </w:r>
    </w:p>
    <w:p w14:paraId="27721544" w14:textId="2CD89FB3" w:rsidR="7AA582C6" w:rsidRDefault="2FE50E24" w:rsidP="787DAC24">
      <w:pPr>
        <w:ind w:firstLine="720"/>
        <w:rPr>
          <w:rFonts w:ascii="Times New Roman" w:eastAsia="Times New Roman" w:hAnsi="Times New Roman" w:cs="Times New Roman"/>
          <w:color w:val="1F1F1F"/>
          <w:sz w:val="24"/>
          <w:szCs w:val="24"/>
        </w:rPr>
      </w:pPr>
      <w:r w:rsidRPr="787DAC24">
        <w:rPr>
          <w:rFonts w:ascii="Times New Roman" w:eastAsia="Times New Roman" w:hAnsi="Times New Roman" w:cs="Times New Roman"/>
          <w:sz w:val="24"/>
          <w:szCs w:val="24"/>
        </w:rPr>
        <w:t>Researchers utilize ROUGE scores to measure the quality of generated summaries. The performance of the model is better than the other public models: For OPENI, the model reaches ROUGE-1, ROUGE-2, and ROUGE-L scores of 64.97, 55.59, and 64.45, respectively. For MIMIC-CXR, it scores 49.13 in ROUGE-1, 33.76 in ROUGE-2, and 47.12 in ROUGE-L. Also, the Human Evaluation shows that the model generally matches or exceeds the quality of human-written references in terms of key information and accuracy but sometimes lacks in readability.</w:t>
      </w:r>
    </w:p>
    <w:p w14:paraId="59DA7FC7" w14:textId="16A7261B" w:rsidR="7AA582C6" w:rsidRDefault="00000000" w:rsidP="787DAC24">
      <w:pPr>
        <w:ind w:firstLine="720"/>
        <w:rPr>
          <w:rFonts w:ascii="Times New Roman" w:eastAsia="Times New Roman" w:hAnsi="Times New Roman" w:cs="Times New Roman"/>
          <w:sz w:val="24"/>
          <w:szCs w:val="24"/>
        </w:rPr>
      </w:pPr>
      <w:hyperlink r:id="rId20">
        <w:proofErr w:type="spellStart"/>
        <w:r w:rsidR="02CB6968" w:rsidRPr="787DAC24">
          <w:rPr>
            <w:rStyle w:val="Hyperlink"/>
            <w:rFonts w:ascii="Times New Roman" w:eastAsia="Times New Roman" w:hAnsi="Times New Roman" w:cs="Times New Roman"/>
            <w:sz w:val="24"/>
            <w:szCs w:val="24"/>
          </w:rPr>
          <w:t>Karn</w:t>
        </w:r>
        <w:proofErr w:type="spellEnd"/>
        <w:r w:rsidR="02CB6968" w:rsidRPr="787DAC24">
          <w:rPr>
            <w:rStyle w:val="Hyperlink"/>
            <w:rFonts w:ascii="Times New Roman" w:eastAsia="Times New Roman" w:hAnsi="Times New Roman" w:cs="Times New Roman"/>
            <w:sz w:val="24"/>
            <w:szCs w:val="24"/>
          </w:rPr>
          <w:t xml:space="preserve"> et al. 2023,</w:t>
        </w:r>
      </w:hyperlink>
      <w:r w:rsidR="01547580" w:rsidRPr="787DAC24">
        <w:rPr>
          <w:rFonts w:ascii="Times New Roman" w:eastAsia="Times New Roman" w:hAnsi="Times New Roman" w:cs="Times New Roman"/>
          <w:b/>
          <w:bCs/>
          <w:sz w:val="24"/>
          <w:szCs w:val="24"/>
        </w:rPr>
        <w:t xml:space="preserve"> </w:t>
      </w:r>
      <w:r w:rsidR="01547580" w:rsidRPr="787DAC24">
        <w:rPr>
          <w:rFonts w:ascii="Times New Roman" w:eastAsia="Times New Roman" w:hAnsi="Times New Roman" w:cs="Times New Roman"/>
          <w:sz w:val="24"/>
          <w:szCs w:val="24"/>
        </w:rPr>
        <w:t>uses</w:t>
      </w:r>
      <w:r w:rsidR="02CB6968" w:rsidRPr="787DAC24">
        <w:rPr>
          <w:rFonts w:ascii="Times New Roman" w:eastAsia="Times New Roman" w:hAnsi="Times New Roman" w:cs="Times New Roman"/>
          <w:sz w:val="24"/>
          <w:szCs w:val="24"/>
        </w:rPr>
        <w:t xml:space="preserve"> </w:t>
      </w:r>
      <w:proofErr w:type="gramStart"/>
      <w:r w:rsidR="6E9F218C" w:rsidRPr="787DAC24">
        <w:rPr>
          <w:rFonts w:ascii="Times New Roman" w:eastAsia="Times New Roman" w:hAnsi="Times New Roman" w:cs="Times New Roman"/>
          <w:color w:val="1F1F1F"/>
          <w:sz w:val="24"/>
          <w:szCs w:val="24"/>
        </w:rPr>
        <w:t>instruction-tuned</w:t>
      </w:r>
      <w:proofErr w:type="gramEnd"/>
      <w:r w:rsidR="6E9F218C" w:rsidRPr="787DAC24">
        <w:rPr>
          <w:rFonts w:ascii="Times New Roman" w:eastAsia="Times New Roman" w:hAnsi="Times New Roman" w:cs="Times New Roman"/>
          <w:color w:val="1F1F1F"/>
          <w:sz w:val="24"/>
          <w:szCs w:val="24"/>
        </w:rPr>
        <w:t xml:space="preserve"> LLMs for generating radiology report impressions.</w:t>
      </w:r>
      <w:r w:rsidR="5AC01322" w:rsidRPr="787DAC24">
        <w:rPr>
          <w:rFonts w:ascii="Times New Roman" w:eastAsia="Times New Roman" w:hAnsi="Times New Roman" w:cs="Times New Roman"/>
          <w:color w:val="1F1F1F"/>
          <w:sz w:val="24"/>
          <w:szCs w:val="24"/>
        </w:rPr>
        <w:t xml:space="preserve"> First, they pre-train an </w:t>
      </w:r>
      <w:proofErr w:type="gramStart"/>
      <w:r w:rsidR="5AC01322" w:rsidRPr="787DAC24">
        <w:rPr>
          <w:rFonts w:ascii="Times New Roman" w:eastAsia="Times New Roman" w:hAnsi="Times New Roman" w:cs="Times New Roman"/>
          <w:color w:val="1F1F1F"/>
          <w:sz w:val="24"/>
          <w:szCs w:val="24"/>
        </w:rPr>
        <w:t>instruction-tuned</w:t>
      </w:r>
      <w:proofErr w:type="gramEnd"/>
      <w:r w:rsidR="5AC01322" w:rsidRPr="787DAC24">
        <w:rPr>
          <w:rFonts w:ascii="Times New Roman" w:eastAsia="Times New Roman" w:hAnsi="Times New Roman" w:cs="Times New Roman"/>
          <w:color w:val="1F1F1F"/>
          <w:sz w:val="24"/>
          <w:szCs w:val="24"/>
        </w:rPr>
        <w:t xml:space="preserve"> LLM</w:t>
      </w:r>
      <w:r w:rsidR="57A1B21C" w:rsidRPr="787DAC24">
        <w:rPr>
          <w:rFonts w:ascii="Times New Roman" w:eastAsia="Times New Roman" w:hAnsi="Times New Roman" w:cs="Times New Roman"/>
          <w:color w:val="1F1F1F"/>
          <w:sz w:val="24"/>
          <w:szCs w:val="24"/>
        </w:rPr>
        <w:t xml:space="preserve"> (</w:t>
      </w:r>
      <w:proofErr w:type="spellStart"/>
      <w:r w:rsidR="57A1B21C" w:rsidRPr="787DAC24">
        <w:rPr>
          <w:rFonts w:ascii="Times New Roman" w:eastAsia="Times New Roman" w:hAnsi="Times New Roman" w:cs="Times New Roman"/>
          <w:color w:val="1F1F1F"/>
          <w:sz w:val="24"/>
          <w:szCs w:val="24"/>
        </w:rPr>
        <w:t>Bloomz</w:t>
      </w:r>
      <w:proofErr w:type="spellEnd"/>
      <w:r w:rsidR="57A1B21C" w:rsidRPr="787DAC24">
        <w:rPr>
          <w:rFonts w:ascii="Times New Roman" w:eastAsia="Times New Roman" w:hAnsi="Times New Roman" w:cs="Times New Roman"/>
          <w:color w:val="1F1F1F"/>
          <w:sz w:val="24"/>
          <w:szCs w:val="24"/>
        </w:rPr>
        <w:t xml:space="preserve"> LLM is used)</w:t>
      </w:r>
      <w:r w:rsidR="5AC01322" w:rsidRPr="787DAC24">
        <w:rPr>
          <w:rFonts w:ascii="Times New Roman" w:eastAsia="Times New Roman" w:hAnsi="Times New Roman" w:cs="Times New Roman"/>
          <w:color w:val="1F1F1F"/>
          <w:sz w:val="24"/>
          <w:szCs w:val="24"/>
        </w:rPr>
        <w:t xml:space="preserve"> on a massive dataset of medical text data. This pre-training step aims to improve the LLM's understanding of medical terminology and concepts. Subsequently, they </w:t>
      </w:r>
      <w:r w:rsidR="4B9C6D9D" w:rsidRPr="787DAC24">
        <w:rPr>
          <w:rFonts w:ascii="Times New Roman" w:eastAsia="Times New Roman" w:hAnsi="Times New Roman" w:cs="Times New Roman"/>
          <w:color w:val="1F1F1F"/>
          <w:sz w:val="24"/>
          <w:szCs w:val="24"/>
        </w:rPr>
        <w:t>instruction</w:t>
      </w:r>
      <w:r w:rsidR="5AC01322" w:rsidRPr="787DAC24">
        <w:rPr>
          <w:rFonts w:ascii="Times New Roman" w:eastAsia="Times New Roman" w:hAnsi="Times New Roman" w:cs="Times New Roman"/>
          <w:color w:val="1F1F1F"/>
          <w:sz w:val="24"/>
          <w:szCs w:val="24"/>
        </w:rPr>
        <w:t xml:space="preserve">-tune the pre-trained LLM on a dataset of radiology reports specifically for the task of generating impressions from findings sections. This </w:t>
      </w:r>
      <w:r w:rsidR="0EDA8563" w:rsidRPr="787DAC24">
        <w:rPr>
          <w:rFonts w:ascii="Times New Roman" w:eastAsia="Times New Roman" w:hAnsi="Times New Roman" w:cs="Times New Roman"/>
          <w:color w:val="1F1F1F"/>
          <w:sz w:val="24"/>
          <w:szCs w:val="24"/>
        </w:rPr>
        <w:t>instruction-tune</w:t>
      </w:r>
      <w:r w:rsidR="5AC01322" w:rsidRPr="787DAC24">
        <w:rPr>
          <w:rFonts w:ascii="Times New Roman" w:eastAsia="Times New Roman" w:hAnsi="Times New Roman" w:cs="Times New Roman"/>
          <w:color w:val="1F1F1F"/>
          <w:sz w:val="24"/>
          <w:szCs w:val="24"/>
        </w:rPr>
        <w:t xml:space="preserve"> step tailors the LLM to the specific structure and language used in radiology reports.</w:t>
      </w:r>
      <w:r w:rsidR="2DB48EB1" w:rsidRPr="787DAC24">
        <w:rPr>
          <w:rFonts w:ascii="Times New Roman" w:eastAsia="Times New Roman" w:hAnsi="Times New Roman" w:cs="Times New Roman"/>
          <w:color w:val="1F1F1F"/>
          <w:sz w:val="24"/>
          <w:szCs w:val="24"/>
        </w:rPr>
        <w:t xml:space="preserve"> Their system achieved the top ranking in the RadSum23 Task 1B challenge</w:t>
      </w:r>
      <w:r w:rsidR="3F8D0B46" w:rsidRPr="787DAC24">
        <w:rPr>
          <w:rFonts w:ascii="Times New Roman" w:eastAsia="Times New Roman" w:hAnsi="Times New Roman" w:cs="Times New Roman"/>
          <w:color w:val="1F1F1F"/>
          <w:sz w:val="24"/>
          <w:szCs w:val="24"/>
        </w:rPr>
        <w:t xml:space="preserve">. This contribution is significant because it demonstrates the potential of </w:t>
      </w:r>
      <w:proofErr w:type="gramStart"/>
      <w:r w:rsidR="3F8D0B46" w:rsidRPr="787DAC24">
        <w:rPr>
          <w:rFonts w:ascii="Times New Roman" w:eastAsia="Times New Roman" w:hAnsi="Times New Roman" w:cs="Times New Roman"/>
          <w:color w:val="1F1F1F"/>
          <w:sz w:val="24"/>
          <w:szCs w:val="24"/>
        </w:rPr>
        <w:t>instruction-tuned</w:t>
      </w:r>
      <w:proofErr w:type="gramEnd"/>
      <w:r w:rsidR="3F8D0B46" w:rsidRPr="787DAC24">
        <w:rPr>
          <w:rFonts w:ascii="Times New Roman" w:eastAsia="Times New Roman" w:hAnsi="Times New Roman" w:cs="Times New Roman"/>
          <w:color w:val="1F1F1F"/>
          <w:sz w:val="24"/>
          <w:szCs w:val="24"/>
        </w:rPr>
        <w:t xml:space="preserve"> LLMs to produce impression</w:t>
      </w:r>
      <w:r w:rsidR="382F3D0D" w:rsidRPr="787DAC24">
        <w:rPr>
          <w:rFonts w:ascii="Times New Roman" w:eastAsia="Times New Roman" w:hAnsi="Times New Roman" w:cs="Times New Roman"/>
          <w:color w:val="1F1F1F"/>
          <w:sz w:val="24"/>
          <w:szCs w:val="24"/>
        </w:rPr>
        <w:t xml:space="preserve"> from finding</w:t>
      </w:r>
      <w:r w:rsidR="07FE1341" w:rsidRPr="787DAC24">
        <w:rPr>
          <w:rFonts w:ascii="Times New Roman" w:eastAsia="Times New Roman" w:hAnsi="Times New Roman" w:cs="Times New Roman"/>
          <w:color w:val="1F1F1F"/>
          <w:sz w:val="24"/>
          <w:szCs w:val="24"/>
        </w:rPr>
        <w:t>s</w:t>
      </w:r>
      <w:r w:rsidR="382F3D0D" w:rsidRPr="787DAC24">
        <w:rPr>
          <w:rFonts w:ascii="Times New Roman" w:eastAsia="Times New Roman" w:hAnsi="Times New Roman" w:cs="Times New Roman"/>
          <w:color w:val="1F1F1F"/>
          <w:sz w:val="24"/>
          <w:szCs w:val="24"/>
        </w:rPr>
        <w:t xml:space="preserve">. </w:t>
      </w:r>
      <w:r w:rsidR="06777A87" w:rsidRPr="787DAC24">
        <w:rPr>
          <w:rFonts w:ascii="Times New Roman" w:eastAsia="Times New Roman" w:hAnsi="Times New Roman" w:cs="Times New Roman"/>
          <w:color w:val="1F1F1F"/>
          <w:sz w:val="24"/>
          <w:szCs w:val="24"/>
        </w:rPr>
        <w:t xml:space="preserve">We propose a distinct approach that leverages patient clinical information alongside findings sections during the fine/instruction-tuning stage. This inclusion aims to enrich the model's understanding of the patient's context, potentially leading to </w:t>
      </w:r>
      <w:r w:rsidR="06777A87" w:rsidRPr="787DAC24">
        <w:rPr>
          <w:rFonts w:ascii="Times New Roman" w:eastAsia="Times New Roman" w:hAnsi="Times New Roman" w:cs="Times New Roman"/>
          <w:color w:val="1F1F1F"/>
          <w:sz w:val="24"/>
          <w:szCs w:val="24"/>
        </w:rPr>
        <w:lastRenderedPageBreak/>
        <w:t>more accurate impression generation. Furthermore, we forgo the pre-training step, focusing solely on fine/instruction-tuning with radiology reports to reduce computational cost.</w:t>
      </w:r>
    </w:p>
    <w:p w14:paraId="46D7DED9" w14:textId="2B9FBEE5" w:rsidR="7AA582C6" w:rsidRDefault="00000000" w:rsidP="787DAC24">
      <w:pPr>
        <w:ind w:firstLine="720"/>
        <w:rPr>
          <w:rFonts w:ascii="Times New Roman" w:eastAsia="Times New Roman" w:hAnsi="Times New Roman" w:cs="Times New Roman"/>
          <w:sz w:val="24"/>
          <w:szCs w:val="24"/>
        </w:rPr>
      </w:pPr>
      <w:hyperlink r:id="rId21">
        <w:r w:rsidR="41D33AD3" w:rsidRPr="72AE07C6">
          <w:rPr>
            <w:rStyle w:val="Hyperlink"/>
            <w:rFonts w:ascii="Times New Roman" w:eastAsia="Times New Roman" w:hAnsi="Times New Roman" w:cs="Times New Roman"/>
            <w:sz w:val="24"/>
            <w:szCs w:val="24"/>
          </w:rPr>
          <w:t>Tie et al. 2023</w:t>
        </w:r>
      </w:hyperlink>
      <w:r w:rsidR="41D33AD3" w:rsidRPr="72AE07C6">
        <w:rPr>
          <w:rFonts w:ascii="Times New Roman" w:eastAsia="Times New Roman" w:hAnsi="Times New Roman" w:cs="Times New Roman"/>
          <w:sz w:val="24"/>
          <w:szCs w:val="24"/>
        </w:rPr>
        <w:t>,</w:t>
      </w:r>
      <w:r w:rsidR="528F91A0" w:rsidRPr="72AE07C6">
        <w:rPr>
          <w:rFonts w:ascii="Times New Roman" w:eastAsia="Times New Roman" w:hAnsi="Times New Roman" w:cs="Times New Roman"/>
          <w:sz w:val="24"/>
          <w:szCs w:val="24"/>
        </w:rPr>
        <w:t xml:space="preserve"> investigate the use of fine-tuned LLMs for generating personalized impressions in PET reports. They argue that current methods for impression generation lack personalization and may not fully capture all relevant findings. </w:t>
      </w:r>
      <w:r w:rsidR="4AD26285" w:rsidRPr="72AE07C6">
        <w:rPr>
          <w:rFonts w:ascii="Times New Roman" w:eastAsia="Times New Roman" w:hAnsi="Times New Roman" w:cs="Times New Roman"/>
          <w:sz w:val="24"/>
          <w:szCs w:val="24"/>
        </w:rPr>
        <w:t>The authors train various LLMs on a dataset of PET reports, with the report findings and original impressions used as input and reference, respectively. They introduce an additional input token encoding the reading</w:t>
      </w:r>
      <w:r w:rsidR="0304366A" w:rsidRPr="72AE07C6">
        <w:rPr>
          <w:rFonts w:ascii="Times New Roman" w:eastAsia="Times New Roman" w:hAnsi="Times New Roman" w:cs="Times New Roman"/>
          <w:sz w:val="24"/>
          <w:szCs w:val="24"/>
        </w:rPr>
        <w:t xml:space="preserve"> of</w:t>
      </w:r>
      <w:r w:rsidR="4AD26285" w:rsidRPr="72AE07C6">
        <w:rPr>
          <w:rFonts w:ascii="Times New Roman" w:eastAsia="Times New Roman" w:hAnsi="Times New Roman" w:cs="Times New Roman"/>
          <w:sz w:val="24"/>
          <w:szCs w:val="24"/>
        </w:rPr>
        <w:t xml:space="preserve"> physician's identity to personalize the generated impressions. The performance of the LLM-generated impressions is evaluated using metrics commonly employed in text summarization tasks, along with physician assessments for clinical utility and overall impression quality.</w:t>
      </w:r>
      <w:r w:rsidR="316B3559" w:rsidRPr="72AE07C6">
        <w:rPr>
          <w:rFonts w:ascii="Times New Roman" w:eastAsia="Times New Roman" w:hAnsi="Times New Roman" w:cs="Times New Roman"/>
          <w:sz w:val="24"/>
          <w:szCs w:val="24"/>
        </w:rPr>
        <w:t xml:space="preserve"> The paper argues that fine-tuning LLMs on PET reports with physician identity information leads to the generation of clinically useful and personalized impressions. The PEGASUS model achieved the best results, with physician evaluations indicating high agreement on the acceptability and overall utility of the generated impressions compared to those written by other physicians.</w:t>
      </w:r>
      <w:r w:rsidR="505AFA30" w:rsidRPr="72AE07C6">
        <w:rPr>
          <w:rFonts w:ascii="Times New Roman" w:eastAsia="Times New Roman" w:hAnsi="Times New Roman" w:cs="Times New Roman"/>
          <w:sz w:val="24"/>
          <w:szCs w:val="24"/>
        </w:rPr>
        <w:t xml:space="preserve"> This paper demonstrates that several open-sourced LLMs can b</w:t>
      </w:r>
      <w:r w:rsidR="6ABCEA2C" w:rsidRPr="72AE07C6">
        <w:rPr>
          <w:rFonts w:ascii="Times New Roman" w:eastAsia="Times New Roman" w:hAnsi="Times New Roman" w:cs="Times New Roman"/>
          <w:sz w:val="24"/>
          <w:szCs w:val="24"/>
        </w:rPr>
        <w:t xml:space="preserve">e </w:t>
      </w:r>
      <w:r w:rsidR="505AFA30" w:rsidRPr="72AE07C6">
        <w:rPr>
          <w:rFonts w:ascii="Times New Roman" w:eastAsia="Times New Roman" w:hAnsi="Times New Roman" w:cs="Times New Roman"/>
          <w:sz w:val="24"/>
          <w:szCs w:val="24"/>
        </w:rPr>
        <w:t xml:space="preserve">utilized to generate </w:t>
      </w:r>
      <w:r w:rsidR="251703DA" w:rsidRPr="72AE07C6">
        <w:rPr>
          <w:rFonts w:ascii="Times New Roman" w:eastAsia="Times New Roman" w:hAnsi="Times New Roman" w:cs="Times New Roman"/>
          <w:sz w:val="24"/>
          <w:szCs w:val="24"/>
        </w:rPr>
        <w:t xml:space="preserve">personalized </w:t>
      </w:r>
      <w:r w:rsidR="505AFA30" w:rsidRPr="696B04C5">
        <w:rPr>
          <w:rFonts w:ascii="Times New Roman" w:eastAsia="Times New Roman" w:hAnsi="Times New Roman" w:cs="Times New Roman"/>
          <w:sz w:val="24"/>
          <w:szCs w:val="24"/>
        </w:rPr>
        <w:t>findings</w:t>
      </w:r>
      <w:r w:rsidR="251703DA" w:rsidRPr="72AE07C6">
        <w:rPr>
          <w:rFonts w:ascii="Times New Roman" w:eastAsia="Times New Roman" w:hAnsi="Times New Roman" w:cs="Times New Roman"/>
          <w:sz w:val="24"/>
          <w:szCs w:val="24"/>
        </w:rPr>
        <w:t xml:space="preserve"> aligning closely with the primary focus of our research endeavor.</w:t>
      </w:r>
    </w:p>
    <w:p w14:paraId="1D879977" w14:textId="2E2E1F50" w:rsidR="27987755" w:rsidRDefault="00000000" w:rsidP="72AE07C6">
      <w:pPr>
        <w:ind w:firstLine="720"/>
        <w:rPr>
          <w:rFonts w:ascii="Times New Roman" w:eastAsia="Times New Roman" w:hAnsi="Times New Roman" w:cs="Times New Roman"/>
          <w:sz w:val="24"/>
          <w:szCs w:val="24"/>
        </w:rPr>
      </w:pPr>
      <w:hyperlink r:id="rId22">
        <w:r w:rsidR="3244950C" w:rsidRPr="72AE07C6">
          <w:rPr>
            <w:rStyle w:val="Hyperlink"/>
            <w:rFonts w:ascii="Times New Roman" w:eastAsia="Times New Roman" w:hAnsi="Times New Roman" w:cs="Times New Roman"/>
            <w:sz w:val="24"/>
            <w:szCs w:val="24"/>
          </w:rPr>
          <w:t>Liu et al. 2023</w:t>
        </w:r>
      </w:hyperlink>
      <w:r w:rsidR="3244950C" w:rsidRPr="72AE07C6">
        <w:rPr>
          <w:rFonts w:ascii="Times New Roman" w:eastAsia="Times New Roman" w:hAnsi="Times New Roman" w:cs="Times New Roman"/>
          <w:sz w:val="24"/>
          <w:szCs w:val="24"/>
        </w:rPr>
        <w:t xml:space="preserve">, </w:t>
      </w:r>
      <w:r w:rsidR="167FC983" w:rsidRPr="72AE07C6">
        <w:rPr>
          <w:rFonts w:ascii="Times New Roman" w:eastAsia="Times New Roman" w:hAnsi="Times New Roman" w:cs="Times New Roman"/>
          <w:sz w:val="24"/>
          <w:szCs w:val="24"/>
        </w:rPr>
        <w:t>leveraged the Alpaca instruction-tuning framework to train Radiology-GPT on a radiology-focused dataset.</w:t>
      </w:r>
      <w:r w:rsidR="722D3CBF" w:rsidRPr="72AE07C6">
        <w:rPr>
          <w:rFonts w:ascii="Times New Roman" w:eastAsia="Times New Roman" w:hAnsi="Times New Roman" w:cs="Times New Roman"/>
          <w:sz w:val="24"/>
          <w:szCs w:val="24"/>
        </w:rPr>
        <w:t xml:space="preserve"> The paper used the publicly available MIMIC-CXR dataset</w:t>
      </w:r>
      <w:r w:rsidR="5025F9CE" w:rsidRPr="72AE07C6">
        <w:rPr>
          <w:rFonts w:ascii="Times New Roman" w:eastAsia="Times New Roman" w:hAnsi="Times New Roman" w:cs="Times New Roman"/>
          <w:sz w:val="24"/>
          <w:szCs w:val="24"/>
        </w:rPr>
        <w:t xml:space="preserve"> to generate an impression text given a findings text as an instruction.</w:t>
      </w:r>
      <w:r w:rsidR="611EA9E3" w:rsidRPr="72AE07C6">
        <w:rPr>
          <w:rFonts w:ascii="Times New Roman" w:eastAsia="Times New Roman" w:hAnsi="Times New Roman" w:cs="Times New Roman"/>
          <w:sz w:val="24"/>
          <w:szCs w:val="24"/>
        </w:rPr>
        <w:t xml:space="preserve"> The paper argues that String-matching and n-gram based methods such as ROGUE and BLEU were deemed inappropriate due to the variability in radiologists' writing styles and interpretations.</w:t>
      </w:r>
      <w:r w:rsidR="68B5E1D7" w:rsidRPr="72AE07C6">
        <w:rPr>
          <w:rFonts w:ascii="Times New Roman" w:eastAsia="Times New Roman" w:hAnsi="Times New Roman" w:cs="Times New Roman"/>
          <w:sz w:val="24"/>
          <w:szCs w:val="24"/>
        </w:rPr>
        <w:t xml:space="preserve"> Instead,</w:t>
      </w:r>
      <w:r w:rsidR="5025F9CE" w:rsidRPr="72AE07C6">
        <w:rPr>
          <w:rFonts w:ascii="Times New Roman" w:eastAsia="Times New Roman" w:hAnsi="Times New Roman" w:cs="Times New Roman"/>
          <w:sz w:val="24"/>
          <w:szCs w:val="24"/>
        </w:rPr>
        <w:t xml:space="preserve"> </w:t>
      </w:r>
      <w:r w:rsidR="6B2AFAFA" w:rsidRPr="72AE07C6">
        <w:rPr>
          <w:rFonts w:ascii="Times New Roman" w:eastAsia="Times New Roman" w:hAnsi="Times New Roman" w:cs="Times New Roman"/>
          <w:sz w:val="24"/>
          <w:szCs w:val="24"/>
        </w:rPr>
        <w:t>r</w:t>
      </w:r>
      <w:r w:rsidR="4CA88405" w:rsidRPr="72AE07C6">
        <w:rPr>
          <w:rFonts w:ascii="Times New Roman" w:eastAsia="Times New Roman" w:hAnsi="Times New Roman" w:cs="Times New Roman"/>
          <w:sz w:val="24"/>
          <w:szCs w:val="24"/>
        </w:rPr>
        <w:t>adiologist</w:t>
      </w:r>
      <w:r w:rsidR="456CC48E" w:rsidRPr="72AE07C6">
        <w:rPr>
          <w:rFonts w:ascii="Times New Roman" w:eastAsia="Times New Roman" w:hAnsi="Times New Roman" w:cs="Times New Roman"/>
          <w:sz w:val="24"/>
          <w:szCs w:val="24"/>
        </w:rPr>
        <w:t>s</w:t>
      </w:r>
      <w:r w:rsidR="4CA88405" w:rsidRPr="72AE07C6">
        <w:rPr>
          <w:rFonts w:ascii="Times New Roman" w:eastAsia="Times New Roman" w:hAnsi="Times New Roman" w:cs="Times New Roman"/>
          <w:sz w:val="24"/>
          <w:szCs w:val="24"/>
        </w:rPr>
        <w:t xml:space="preserve"> evaluated the mode based on understandability, coherence, </w:t>
      </w:r>
      <w:r w:rsidR="1313719D" w:rsidRPr="72AE07C6">
        <w:rPr>
          <w:rFonts w:ascii="Times New Roman" w:eastAsia="Times New Roman" w:hAnsi="Times New Roman" w:cs="Times New Roman"/>
          <w:sz w:val="24"/>
          <w:szCs w:val="24"/>
        </w:rPr>
        <w:t>r</w:t>
      </w:r>
      <w:r w:rsidR="4CA88405" w:rsidRPr="72AE07C6">
        <w:rPr>
          <w:rFonts w:ascii="Times New Roman" w:eastAsia="Times New Roman" w:hAnsi="Times New Roman" w:cs="Times New Roman"/>
          <w:sz w:val="24"/>
          <w:szCs w:val="24"/>
        </w:rPr>
        <w:t xml:space="preserve">elevance, </w:t>
      </w:r>
      <w:proofErr w:type="gramStart"/>
      <w:r w:rsidR="318F1E99" w:rsidRPr="72AE07C6">
        <w:rPr>
          <w:rFonts w:ascii="Times New Roman" w:eastAsia="Times New Roman" w:hAnsi="Times New Roman" w:cs="Times New Roman"/>
          <w:sz w:val="24"/>
          <w:szCs w:val="24"/>
        </w:rPr>
        <w:t>c</w:t>
      </w:r>
      <w:r w:rsidR="4CA88405" w:rsidRPr="72AE07C6">
        <w:rPr>
          <w:rFonts w:ascii="Times New Roman" w:eastAsia="Times New Roman" w:hAnsi="Times New Roman" w:cs="Times New Roman"/>
          <w:sz w:val="24"/>
          <w:szCs w:val="24"/>
        </w:rPr>
        <w:t>onciseness</w:t>
      </w:r>
      <w:proofErr w:type="gramEnd"/>
      <w:r w:rsidR="4CA88405" w:rsidRPr="72AE07C6">
        <w:rPr>
          <w:rFonts w:ascii="Times New Roman" w:eastAsia="Times New Roman" w:hAnsi="Times New Roman" w:cs="Times New Roman"/>
          <w:sz w:val="24"/>
          <w:szCs w:val="24"/>
        </w:rPr>
        <w:t xml:space="preserve"> and </w:t>
      </w:r>
      <w:r w:rsidR="3B517DD3" w:rsidRPr="72AE07C6">
        <w:rPr>
          <w:rFonts w:ascii="Times New Roman" w:eastAsia="Times New Roman" w:hAnsi="Times New Roman" w:cs="Times New Roman"/>
          <w:sz w:val="24"/>
          <w:szCs w:val="24"/>
        </w:rPr>
        <w:t>c</w:t>
      </w:r>
      <w:r w:rsidR="4CA88405" w:rsidRPr="72AE07C6">
        <w:rPr>
          <w:rFonts w:ascii="Times New Roman" w:eastAsia="Times New Roman" w:hAnsi="Times New Roman" w:cs="Times New Roman"/>
          <w:sz w:val="24"/>
          <w:szCs w:val="24"/>
        </w:rPr>
        <w:t xml:space="preserve">linical </w:t>
      </w:r>
      <w:r w:rsidR="560702B9" w:rsidRPr="72AE07C6">
        <w:rPr>
          <w:rFonts w:ascii="Times New Roman" w:eastAsia="Times New Roman" w:hAnsi="Times New Roman" w:cs="Times New Roman"/>
          <w:sz w:val="24"/>
          <w:szCs w:val="24"/>
        </w:rPr>
        <w:t>u</w:t>
      </w:r>
      <w:r w:rsidR="4CA88405" w:rsidRPr="72AE07C6">
        <w:rPr>
          <w:rFonts w:ascii="Times New Roman" w:eastAsia="Times New Roman" w:hAnsi="Times New Roman" w:cs="Times New Roman"/>
          <w:sz w:val="24"/>
          <w:szCs w:val="24"/>
        </w:rPr>
        <w:t>t</w:t>
      </w:r>
      <w:r w:rsidR="453BCD59" w:rsidRPr="72AE07C6">
        <w:rPr>
          <w:rFonts w:ascii="Times New Roman" w:eastAsia="Times New Roman" w:hAnsi="Times New Roman" w:cs="Times New Roman"/>
          <w:sz w:val="24"/>
          <w:szCs w:val="24"/>
        </w:rPr>
        <w:t>i</w:t>
      </w:r>
      <w:r w:rsidR="4CA88405" w:rsidRPr="72AE07C6">
        <w:rPr>
          <w:rFonts w:ascii="Times New Roman" w:eastAsia="Times New Roman" w:hAnsi="Times New Roman" w:cs="Times New Roman"/>
          <w:sz w:val="24"/>
          <w:szCs w:val="24"/>
        </w:rPr>
        <w:t>lity</w:t>
      </w:r>
      <w:r w:rsidR="068A1319" w:rsidRPr="72AE07C6">
        <w:rPr>
          <w:rFonts w:ascii="Times New Roman" w:eastAsia="Times New Roman" w:hAnsi="Times New Roman" w:cs="Times New Roman"/>
          <w:sz w:val="24"/>
          <w:szCs w:val="24"/>
        </w:rPr>
        <w:t xml:space="preserve">. Radiology-GPT showed comparable understandability and slightly better coherence compared to </w:t>
      </w:r>
      <w:proofErr w:type="spellStart"/>
      <w:r w:rsidR="244094EC" w:rsidRPr="72AE07C6">
        <w:rPr>
          <w:rFonts w:ascii="Times New Roman" w:eastAsia="Times New Roman" w:hAnsi="Times New Roman" w:cs="Times New Roman"/>
          <w:sz w:val="24"/>
          <w:szCs w:val="24"/>
        </w:rPr>
        <w:t>ChatGPT</w:t>
      </w:r>
      <w:proofErr w:type="spellEnd"/>
      <w:r w:rsidR="244094EC" w:rsidRPr="72AE07C6">
        <w:rPr>
          <w:rFonts w:ascii="Times New Roman" w:eastAsia="Times New Roman" w:hAnsi="Times New Roman" w:cs="Times New Roman"/>
          <w:sz w:val="24"/>
          <w:szCs w:val="24"/>
        </w:rPr>
        <w:t xml:space="preserve"> but</w:t>
      </w:r>
      <w:r w:rsidR="068A1319" w:rsidRPr="72AE07C6">
        <w:rPr>
          <w:rFonts w:ascii="Times New Roman" w:eastAsia="Times New Roman" w:hAnsi="Times New Roman" w:cs="Times New Roman"/>
          <w:sz w:val="24"/>
          <w:szCs w:val="24"/>
        </w:rPr>
        <w:t xml:space="preserve"> lagged slightly in relevance due to producing shorter responses. However, Radiology-GPT scored higher in conciseness and clinical utility, reflecting its design focus on delivering succinct and focused outputs. Other models tested, such as StableLM-7B, Dolly-12B, and LLaMA-7B, were outperformed by both Radiology-GPT and </w:t>
      </w:r>
      <w:proofErr w:type="spellStart"/>
      <w:r w:rsidR="068A1319" w:rsidRPr="72AE07C6">
        <w:rPr>
          <w:rFonts w:ascii="Times New Roman" w:eastAsia="Times New Roman" w:hAnsi="Times New Roman" w:cs="Times New Roman"/>
          <w:sz w:val="24"/>
          <w:szCs w:val="24"/>
        </w:rPr>
        <w:t>ChatGPT</w:t>
      </w:r>
      <w:proofErr w:type="spellEnd"/>
      <w:r w:rsidR="068A1319" w:rsidRPr="72AE07C6">
        <w:rPr>
          <w:rFonts w:ascii="Times New Roman" w:eastAsia="Times New Roman" w:hAnsi="Times New Roman" w:cs="Times New Roman"/>
          <w:sz w:val="24"/>
          <w:szCs w:val="24"/>
        </w:rPr>
        <w:t>, indicating the value of domain-specific tuning and instruction comprehension in healthcare applications of LLMs.</w:t>
      </w:r>
      <w:r w:rsidR="4B5BAB69" w:rsidRPr="72AE07C6">
        <w:rPr>
          <w:rFonts w:ascii="Times New Roman" w:eastAsia="Times New Roman" w:hAnsi="Times New Roman" w:cs="Times New Roman"/>
          <w:sz w:val="24"/>
          <w:szCs w:val="24"/>
        </w:rPr>
        <w:t xml:space="preserve"> </w:t>
      </w:r>
    </w:p>
    <w:p w14:paraId="6C4A2991" w14:textId="0AEF756D" w:rsidR="49D5D5DD" w:rsidRDefault="00000000" w:rsidP="696B04C5">
      <w:pPr>
        <w:ind w:firstLine="720"/>
        <w:rPr>
          <w:rFonts w:ascii="Times New Roman" w:eastAsia="Times New Roman" w:hAnsi="Times New Roman" w:cs="Times New Roman"/>
          <w:sz w:val="24"/>
          <w:szCs w:val="24"/>
        </w:rPr>
      </w:pPr>
      <w:hyperlink>
        <w:r w:rsidR="49D5D5DD" w:rsidRPr="696B04C5">
          <w:rPr>
            <w:rStyle w:val="Hyperlink"/>
            <w:rFonts w:ascii="Times New Roman" w:eastAsia="Times New Roman" w:hAnsi="Times New Roman" w:cs="Times New Roman"/>
            <w:sz w:val="24"/>
            <w:szCs w:val="24"/>
          </w:rPr>
          <w:t>Zhang et al. 2020</w:t>
        </w:r>
      </w:hyperlink>
      <w:r w:rsidR="49D5D5DD" w:rsidRPr="696B04C5">
        <w:rPr>
          <w:rFonts w:ascii="Times New Roman" w:eastAsia="Times New Roman" w:hAnsi="Times New Roman" w:cs="Times New Roman"/>
          <w:sz w:val="24"/>
          <w:szCs w:val="24"/>
        </w:rPr>
        <w:t>,</w:t>
      </w:r>
      <w:r w:rsidR="2D55AB01" w:rsidRPr="696B04C5">
        <w:rPr>
          <w:rFonts w:ascii="Times New Roman" w:eastAsia="Times New Roman" w:hAnsi="Times New Roman" w:cs="Times New Roman"/>
          <w:sz w:val="24"/>
          <w:szCs w:val="24"/>
        </w:rPr>
        <w:t xml:space="preserve"> </w:t>
      </w:r>
      <w:r w:rsidR="21F605D8" w:rsidRPr="696B04C5">
        <w:rPr>
          <w:rFonts w:ascii="Times New Roman" w:eastAsia="Times New Roman" w:hAnsi="Times New Roman" w:cs="Times New Roman"/>
          <w:sz w:val="24"/>
          <w:szCs w:val="24"/>
        </w:rPr>
        <w:t>proposes a novel framework for training neural summarization models with a focus on factual correctness. They argue that existing models prioritize fluency and often generate summaries with factual errors.</w:t>
      </w:r>
      <w:r w:rsidR="60A2717E" w:rsidRPr="696B04C5">
        <w:rPr>
          <w:rFonts w:ascii="Times New Roman" w:eastAsia="Times New Roman" w:hAnsi="Times New Roman" w:cs="Times New Roman"/>
          <w:sz w:val="24"/>
          <w:szCs w:val="24"/>
        </w:rPr>
        <w:t xml:space="preserve"> The paper</w:t>
      </w:r>
      <w:r w:rsidR="01D43108" w:rsidRPr="696B04C5">
        <w:rPr>
          <w:rFonts w:ascii="Times New Roman" w:eastAsia="Times New Roman" w:hAnsi="Times New Roman" w:cs="Times New Roman"/>
          <w:sz w:val="24"/>
          <w:szCs w:val="24"/>
        </w:rPr>
        <w:t xml:space="preserve"> </w:t>
      </w:r>
      <w:r w:rsidR="0626DDC5" w:rsidRPr="696B04C5">
        <w:rPr>
          <w:rFonts w:ascii="Times New Roman" w:eastAsia="Times New Roman" w:hAnsi="Times New Roman" w:cs="Times New Roman"/>
          <w:sz w:val="24"/>
          <w:szCs w:val="24"/>
        </w:rPr>
        <w:t>implements</w:t>
      </w:r>
      <w:r w:rsidR="60A2717E" w:rsidRPr="696B04C5">
        <w:rPr>
          <w:rFonts w:ascii="Times New Roman" w:eastAsia="Times New Roman" w:hAnsi="Times New Roman" w:cs="Times New Roman"/>
          <w:sz w:val="24"/>
          <w:szCs w:val="24"/>
        </w:rPr>
        <w:t xml:space="preserve"> a reinforcement learning framework</w:t>
      </w:r>
      <w:r w:rsidR="12FE5C0A" w:rsidRPr="696B04C5">
        <w:rPr>
          <w:rFonts w:ascii="Times New Roman" w:eastAsia="Times New Roman" w:hAnsi="Times New Roman" w:cs="Times New Roman"/>
          <w:sz w:val="24"/>
          <w:szCs w:val="24"/>
        </w:rPr>
        <w:t xml:space="preserve"> where the summarization model is trained with a reward function that incorporates both fluency and factual correctness.</w:t>
      </w:r>
      <w:r w:rsidR="5785A57D" w:rsidRPr="696B04C5">
        <w:rPr>
          <w:rFonts w:ascii="Times New Roman" w:eastAsia="Times New Roman" w:hAnsi="Times New Roman" w:cs="Times New Roman"/>
          <w:sz w:val="24"/>
          <w:szCs w:val="24"/>
        </w:rPr>
        <w:t xml:space="preserve"> They show significant improvements in factual correctness compared to existing models, with the generated summaries approaching human-authored quality in radiology reports.</w:t>
      </w:r>
    </w:p>
    <w:p w14:paraId="723E865E" w14:textId="6B5ED5CD" w:rsidR="15AC4ED3" w:rsidRDefault="00000000" w:rsidP="27987755">
      <w:pPr>
        <w:ind w:firstLine="720"/>
        <w:rPr>
          <w:rFonts w:ascii="Times New Roman" w:eastAsia="Times New Roman" w:hAnsi="Times New Roman" w:cs="Times New Roman"/>
          <w:sz w:val="24"/>
          <w:szCs w:val="24"/>
        </w:rPr>
      </w:pPr>
      <w:hyperlink r:id="rId23">
        <w:r w:rsidR="16047566" w:rsidRPr="72AE07C6">
          <w:rPr>
            <w:rStyle w:val="Hyperlink"/>
            <w:rFonts w:ascii="Times New Roman" w:eastAsia="Times New Roman" w:hAnsi="Times New Roman" w:cs="Times New Roman"/>
            <w:sz w:val="24"/>
            <w:szCs w:val="24"/>
          </w:rPr>
          <w:t>Van Veen et al. 2023</w:t>
        </w:r>
      </w:hyperlink>
      <w:r w:rsidR="4FB30BEC" w:rsidRPr="72AE07C6">
        <w:rPr>
          <w:rFonts w:ascii="Times New Roman" w:eastAsia="Times New Roman" w:hAnsi="Times New Roman" w:cs="Times New Roman"/>
          <w:sz w:val="24"/>
          <w:szCs w:val="24"/>
        </w:rPr>
        <w:t xml:space="preserve"> </w:t>
      </w:r>
      <w:r w:rsidR="43D128BA" w:rsidRPr="72AE07C6">
        <w:rPr>
          <w:rFonts w:ascii="Times New Roman" w:eastAsia="Times New Roman" w:hAnsi="Times New Roman" w:cs="Times New Roman"/>
          <w:sz w:val="24"/>
          <w:szCs w:val="24"/>
        </w:rPr>
        <w:t>presents a study on optimizing the adaptation of large language models (LLMs) for radiology report summarization (RRS) using lightweight domain adaptation techniques. Researchers use MIMIC-III, which is a dataset consisting of radiology reports across various imaging modalities and anatomical regions, used to train and evaluate the models.</w:t>
      </w:r>
    </w:p>
    <w:p w14:paraId="41FD0324" w14:textId="33AE9975" w:rsidR="15AC4ED3" w:rsidRDefault="43D128BA" w:rsidP="27987755">
      <w:pPr>
        <w:rPr>
          <w:rFonts w:ascii="Times New Roman" w:eastAsia="Times New Roman" w:hAnsi="Times New Roman" w:cs="Times New Roman"/>
          <w:sz w:val="24"/>
          <w:szCs w:val="24"/>
        </w:rPr>
      </w:pPr>
      <w:r w:rsidRPr="72AE07C6">
        <w:rPr>
          <w:rFonts w:ascii="Times New Roman" w:eastAsia="Times New Roman" w:hAnsi="Times New Roman" w:cs="Times New Roman"/>
          <w:sz w:val="24"/>
          <w:szCs w:val="24"/>
        </w:rPr>
        <w:lastRenderedPageBreak/>
        <w:t xml:space="preserve"> </w:t>
      </w:r>
      <w:r w:rsidR="15AC4ED3">
        <w:tab/>
      </w:r>
      <w:r w:rsidRPr="72AE07C6">
        <w:rPr>
          <w:rFonts w:ascii="Times New Roman" w:eastAsia="Times New Roman" w:hAnsi="Times New Roman" w:cs="Times New Roman"/>
          <w:sz w:val="24"/>
          <w:szCs w:val="24"/>
        </w:rPr>
        <w:t xml:space="preserve">Domain Adaptation </w:t>
      </w:r>
      <w:r w:rsidR="4E6489D5" w:rsidRPr="72AE07C6">
        <w:rPr>
          <w:rFonts w:ascii="Times New Roman" w:eastAsia="Times New Roman" w:hAnsi="Times New Roman" w:cs="Times New Roman"/>
          <w:sz w:val="24"/>
          <w:szCs w:val="24"/>
        </w:rPr>
        <w:t xml:space="preserve">used for this research that </w:t>
      </w:r>
      <w:r w:rsidRPr="72AE07C6">
        <w:rPr>
          <w:rFonts w:ascii="Times New Roman" w:eastAsia="Times New Roman" w:hAnsi="Times New Roman" w:cs="Times New Roman"/>
          <w:sz w:val="24"/>
          <w:szCs w:val="24"/>
        </w:rPr>
        <w:t xml:space="preserve">focuses on adapting pre-trained language models to the radiology domain by using a combination of pre-training on clinical text and fine-tuning on RRS examples. Parameter-Efficient Fine-Tuning such as </w:t>
      </w:r>
      <w:proofErr w:type="spellStart"/>
      <w:r w:rsidRPr="72AE07C6">
        <w:rPr>
          <w:rFonts w:ascii="Times New Roman" w:eastAsia="Times New Roman" w:hAnsi="Times New Roman" w:cs="Times New Roman"/>
          <w:sz w:val="24"/>
          <w:szCs w:val="24"/>
        </w:rPr>
        <w:t>LoRA</w:t>
      </w:r>
      <w:proofErr w:type="spellEnd"/>
      <w:r w:rsidRPr="72AE07C6">
        <w:rPr>
          <w:rFonts w:ascii="Times New Roman" w:eastAsia="Times New Roman" w:hAnsi="Times New Roman" w:cs="Times New Roman"/>
          <w:sz w:val="24"/>
          <w:szCs w:val="24"/>
        </w:rPr>
        <w:t xml:space="preserve"> (Low-Rank Adaptation) were employed to fine-tune only a small fraction (0.32%) of the model's parameters, which improves efficiency and reduces computational cost. And Prompt Engineering that experiments with few-shot prompting and the use of in-context examples to improve model performance without extensive fine-tuning.</w:t>
      </w:r>
    </w:p>
    <w:p w14:paraId="34C1C345" w14:textId="181DEF18" w:rsidR="15AC4ED3" w:rsidRDefault="43D128BA" w:rsidP="27987755">
      <w:pPr>
        <w:rPr>
          <w:rFonts w:ascii="Times New Roman" w:eastAsia="Times New Roman" w:hAnsi="Times New Roman" w:cs="Times New Roman"/>
          <w:sz w:val="24"/>
          <w:szCs w:val="24"/>
        </w:rPr>
      </w:pPr>
      <w:r w:rsidRPr="72AE07C6">
        <w:rPr>
          <w:rFonts w:ascii="Times New Roman" w:eastAsia="Times New Roman" w:hAnsi="Times New Roman" w:cs="Times New Roman"/>
          <w:sz w:val="24"/>
          <w:szCs w:val="24"/>
        </w:rPr>
        <w:t xml:space="preserve"> </w:t>
      </w:r>
      <w:r w:rsidR="15AC4ED3">
        <w:tab/>
      </w:r>
      <w:r w:rsidR="494AACE7" w:rsidRPr="72AE07C6">
        <w:rPr>
          <w:rFonts w:ascii="Times New Roman" w:eastAsia="Times New Roman" w:hAnsi="Times New Roman" w:cs="Times New Roman"/>
          <w:sz w:val="24"/>
          <w:szCs w:val="24"/>
        </w:rPr>
        <w:t>T</w:t>
      </w:r>
      <w:r w:rsidRPr="72AE07C6">
        <w:rPr>
          <w:rFonts w:ascii="Times New Roman" w:eastAsia="Times New Roman" w:hAnsi="Times New Roman" w:cs="Times New Roman"/>
          <w:sz w:val="24"/>
          <w:szCs w:val="24"/>
        </w:rPr>
        <w:t>he adapted models showed superior performance in generating concise and coherent summaries of radiology reports. The best results were achieved by models that were pre-trained on clinical text and fine-tuned on specific RRS tasks. For the evaluation, both quantitative metrics (like ROUGE scores) and qualitative assessments (via radiologist reader studies) were used to evaluate the models. The models adapted with clinical pre-training and lightweight fine-tuning techniques outperformed other models.</w:t>
      </w:r>
    </w:p>
    <w:p w14:paraId="3CBD1D82" w14:textId="33F23390" w:rsidR="27987755" w:rsidRDefault="15AC4ED3" w:rsidP="787DAC24">
      <w:pPr>
        <w:ind w:firstLine="720"/>
        <w:rPr>
          <w:rFonts w:ascii="Times New Roman" w:eastAsia="Times New Roman" w:hAnsi="Times New Roman" w:cs="Times New Roman"/>
          <w:sz w:val="24"/>
          <w:szCs w:val="24"/>
        </w:rPr>
      </w:pPr>
      <w:r w:rsidRPr="787DAC24">
        <w:rPr>
          <w:rFonts w:ascii="Times New Roman" w:eastAsia="Times New Roman" w:hAnsi="Times New Roman" w:cs="Times New Roman"/>
          <w:sz w:val="24"/>
          <w:szCs w:val="24"/>
        </w:rPr>
        <w:t>In conclusion, the research highlights the effectiveness of lightweight domain adaptation strategies in applying LLMs to specialized tasks like radiology report summarization. It demonstrates that targeted pre-training and efficient fine-tuning can significantly enhance the performance of LLMs in domain-specific applications while maintaining computational efficiency.</w:t>
      </w:r>
    </w:p>
    <w:p w14:paraId="0F85A7C1" w14:textId="6EE65122" w:rsidR="27987755" w:rsidRDefault="536CFEDF" w:rsidP="787DAC24">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 xml:space="preserve">In their groundbreaking study, </w:t>
      </w:r>
      <w:hyperlink r:id="rId24">
        <w:r w:rsidRPr="696B04C5">
          <w:rPr>
            <w:rStyle w:val="Hyperlink"/>
            <w:rFonts w:ascii="Times New Roman" w:eastAsia="Times New Roman" w:hAnsi="Times New Roman" w:cs="Times New Roman"/>
            <w:sz w:val="24"/>
            <w:szCs w:val="24"/>
          </w:rPr>
          <w:t>Radhakrishnan et al. 2023</w:t>
        </w:r>
      </w:hyperlink>
      <w:r w:rsidR="5F2D6229" w:rsidRPr="787DAC24">
        <w:rPr>
          <w:rFonts w:ascii="Times New Roman" w:eastAsia="Times New Roman" w:hAnsi="Times New Roman" w:cs="Times New Roman"/>
          <w:sz w:val="24"/>
          <w:szCs w:val="24"/>
        </w:rPr>
        <w:t xml:space="preserve"> unveiled "R2GenGPT: Radiology Report Generation with Frozen LLMs," a model that innovatively combines visual and textual data to facilitate the automated generation of radiology reports. This model is particularly notable for its utilization of a visual encoder that extracts significant features from radiological images. These features are then seamlessly integrated into the textual data stream via a sophisticated visual mapper. This mapper plays a crucial role, as it bridges the gap between the high-dimensional image data and the language model's textual feature space, allowing for coherent and accurate report generation.</w:t>
      </w:r>
    </w:p>
    <w:p w14:paraId="543B453A" w14:textId="176A5701" w:rsidR="27987755" w:rsidRDefault="5F2D6229" w:rsidP="787DAC24">
      <w:pPr>
        <w:ind w:firstLine="720"/>
        <w:rPr>
          <w:rFonts w:ascii="Times New Roman" w:eastAsia="Times New Roman" w:hAnsi="Times New Roman" w:cs="Times New Roman"/>
          <w:sz w:val="24"/>
          <w:szCs w:val="24"/>
        </w:rPr>
      </w:pPr>
      <w:r w:rsidRPr="787DAC24">
        <w:rPr>
          <w:rFonts w:ascii="Times New Roman" w:eastAsia="Times New Roman" w:hAnsi="Times New Roman" w:cs="Times New Roman"/>
          <w:sz w:val="24"/>
          <w:szCs w:val="24"/>
        </w:rPr>
        <w:t>A unique aspect of R2GenGPT is its strategy of employing "frozen" language model parameters. This approach ensures that the pre-trained LLM is utilized without undergoing further training during the model's application, thus maintaining the integrity and robust understanding capabilities of the LLM while focusing computational resources on optimizing the integration of visual inputs. This enhances the model's efficiency and significantly reduces the computational overhead associated with training expansive neural network parameters.</w:t>
      </w:r>
    </w:p>
    <w:p w14:paraId="7D72883D" w14:textId="512BBF88" w:rsidR="27987755" w:rsidRDefault="5F2D6229" w:rsidP="787DAC24">
      <w:pPr>
        <w:ind w:firstLine="720"/>
        <w:rPr>
          <w:rFonts w:ascii="Times New Roman" w:eastAsia="Times New Roman" w:hAnsi="Times New Roman" w:cs="Times New Roman"/>
          <w:sz w:val="24"/>
          <w:szCs w:val="24"/>
        </w:rPr>
      </w:pPr>
      <w:r w:rsidRPr="787DAC24">
        <w:rPr>
          <w:rFonts w:ascii="Times New Roman" w:eastAsia="Times New Roman" w:hAnsi="Times New Roman" w:cs="Times New Roman"/>
          <w:sz w:val="24"/>
          <w:szCs w:val="24"/>
        </w:rPr>
        <w:t>The study by Radhakrishnan et al. delves into various alignment strategies to optimize the interaction between visual inputs and textual outputs. These strategies are critical for ensuring that the visual data accurately informs the generated text, maintaining the clinical accuracy and utility of the automatically generated reports.</w:t>
      </w:r>
    </w:p>
    <w:p w14:paraId="28BA61B7" w14:textId="6FAEB076" w:rsidR="27987755" w:rsidRDefault="5F2D6229" w:rsidP="787DAC24">
      <w:pPr>
        <w:ind w:firstLine="720"/>
        <w:rPr>
          <w:rFonts w:ascii="Times New Roman" w:eastAsia="Times New Roman" w:hAnsi="Times New Roman" w:cs="Times New Roman"/>
          <w:sz w:val="24"/>
          <w:szCs w:val="24"/>
        </w:rPr>
      </w:pPr>
      <w:r w:rsidRPr="787DAC24">
        <w:rPr>
          <w:rFonts w:ascii="Times New Roman" w:eastAsia="Times New Roman" w:hAnsi="Times New Roman" w:cs="Times New Roman"/>
          <w:sz w:val="24"/>
          <w:szCs w:val="24"/>
        </w:rPr>
        <w:t xml:space="preserve">In essence, the R2GenGPT model shows a significant advancement in applying AI in healthcare, specifically in radiology. By automating the generation of detailed radiological reports, the model can ease the workload of radiologists, thereby allowing them to concentrate more on patient care and less on the administrative aspects of report generation. This could lead </w:t>
      </w:r>
      <w:r w:rsidRPr="787DAC24">
        <w:rPr>
          <w:rFonts w:ascii="Times New Roman" w:eastAsia="Times New Roman" w:hAnsi="Times New Roman" w:cs="Times New Roman"/>
          <w:sz w:val="24"/>
          <w:szCs w:val="24"/>
        </w:rPr>
        <w:lastRenderedPageBreak/>
        <w:t>to more timely diagnostics, improved patient outcomes, and potentially, a reduction in radiologist burnout.</w:t>
      </w:r>
    </w:p>
    <w:p w14:paraId="19AD299D" w14:textId="343E072A" w:rsidR="27987755" w:rsidRDefault="27987755" w:rsidP="72AE07C6">
      <w:pPr>
        <w:rPr>
          <w:rFonts w:ascii="Times New Roman" w:eastAsia="Times New Roman" w:hAnsi="Times New Roman" w:cs="Times New Roman"/>
          <w:sz w:val="24"/>
          <w:szCs w:val="24"/>
        </w:rPr>
      </w:pPr>
    </w:p>
    <w:p w14:paraId="3F9EAD6F" w14:textId="2730823B" w:rsidR="72AE07C6" w:rsidRDefault="72AE07C6">
      <w:r>
        <w:br w:type="page"/>
      </w:r>
    </w:p>
    <w:p w14:paraId="7D2BDE0F" w14:textId="3B9EABA0" w:rsidR="730BBAA0" w:rsidRDefault="166AF5BD" w:rsidP="5ED733AE">
      <w:pPr>
        <w:pStyle w:val="Heading1"/>
        <w:jc w:val="center"/>
        <w:rPr>
          <w:rFonts w:ascii="Times New Roman" w:eastAsia="Times New Roman" w:hAnsi="Times New Roman" w:cs="Times New Roman"/>
          <w:b/>
          <w:bCs/>
          <w:sz w:val="28"/>
          <w:szCs w:val="28"/>
        </w:rPr>
      </w:pPr>
      <w:bookmarkStart w:id="8" w:name="_Toc798182214"/>
      <w:r>
        <w:lastRenderedPageBreak/>
        <w:t>Data</w:t>
      </w:r>
      <w:bookmarkEnd w:id="8"/>
    </w:p>
    <w:p w14:paraId="47F34A90" w14:textId="46AEB43C" w:rsidR="0D7965BD" w:rsidRDefault="6CF04F33" w:rsidP="696B04C5">
      <w:pPr>
        <w:ind w:firstLine="720"/>
        <w:rPr>
          <w:rFonts w:ascii="Times New Roman" w:eastAsia="Times New Roman" w:hAnsi="Times New Roman" w:cs="Times New Roman"/>
          <w:sz w:val="24"/>
          <w:szCs w:val="24"/>
        </w:rPr>
      </w:pPr>
      <w:r w:rsidRPr="696B04C5">
        <w:rPr>
          <w:rFonts w:ascii="Times New Roman" w:eastAsia="Times New Roman" w:hAnsi="Times New Roman" w:cs="Times New Roman"/>
          <w:sz w:val="24"/>
          <w:szCs w:val="24"/>
        </w:rPr>
        <w:t>This study capitalizes on a comprehensive dataset comprising 789,278 anonymized radiology reports procured from UChicago Medicine. The dataset encompasses a rich array of clinical patient information alongside unstructured textual findings and structured impression sections, as exemplified in Table 1. Noteworthy is the marked disparity in textual freedom between the findings and impression sections, with the former exhibiting a notably higher level of textual variability. Moreover, the dataset spans reports derived from eight distinct modalities, with CT (Computed Tomography) scans constituting approximately 90% of the dataset, as delineated in Table 2. Furthermore, the findings section exhibits a substantially higher word and sentence count relative to the impression and clinical information sections, as elucidated in Table 3. The exceptional quality and extensive scope of this dataset confer a distinct advantage over prior studies constrained by inferior data quality.</w:t>
      </w:r>
    </w:p>
    <w:p w14:paraId="50D383FC" w14:textId="3DC0A1F3" w:rsidR="0D7965BD" w:rsidRDefault="6CF04F33" w:rsidP="696B04C5">
      <w:pPr>
        <w:ind w:firstLine="720"/>
      </w:pPr>
      <w:r w:rsidRPr="696B04C5">
        <w:rPr>
          <w:rFonts w:ascii="Times New Roman" w:eastAsia="Times New Roman" w:hAnsi="Times New Roman" w:cs="Times New Roman"/>
          <w:sz w:val="24"/>
          <w:szCs w:val="24"/>
        </w:rPr>
        <w:t>An additional persona column will be constructed based on the writing style of the impression, encompassing a spectrum ranging from succinct to elaborate, and accommodating structural preferences such as bullet points.</w:t>
      </w:r>
    </w:p>
    <w:p w14:paraId="3DC9FA0B" w14:textId="6D671935" w:rsidR="0D7965BD" w:rsidRDefault="6CF04F33" w:rsidP="696B04C5">
      <w:pPr>
        <w:ind w:firstLine="720"/>
      </w:pPr>
      <w:r w:rsidRPr="696B04C5">
        <w:rPr>
          <w:rFonts w:ascii="Times New Roman" w:eastAsia="Times New Roman" w:hAnsi="Times New Roman" w:cs="Times New Roman"/>
          <w:sz w:val="24"/>
          <w:szCs w:val="24"/>
        </w:rPr>
        <w:t>Ensuring diversity within the dataset, encompassing various sexes and races, assumes paramount importance. Although a comprehensive analysis of sex and race diversity within the dataset remains pending, efforts will be directed towards delineating the distribution of these demographic variables to foster a diverse and representative dataset.</w:t>
      </w:r>
    </w:p>
    <w:p w14:paraId="1C1DCF0D" w14:textId="649552EF" w:rsidR="0D7965BD" w:rsidRDefault="7B9D4C31" w:rsidP="72AE07C6">
      <w:pPr>
        <w:rPr>
          <w:rFonts w:ascii="Times New Roman" w:eastAsia="Times New Roman" w:hAnsi="Times New Roman" w:cs="Times New Roman"/>
          <w:sz w:val="24"/>
          <w:szCs w:val="24"/>
        </w:rPr>
      </w:pPr>
      <w:r w:rsidRPr="72AE07C6">
        <w:rPr>
          <w:rFonts w:ascii="Times New Roman" w:eastAsia="Times New Roman" w:hAnsi="Times New Roman" w:cs="Times New Roman"/>
          <w:sz w:val="24"/>
          <w:szCs w:val="24"/>
        </w:rPr>
        <w:t>Table 1: Example of clinical information, Findings section, and the Impression section</w:t>
      </w:r>
    </w:p>
    <w:tbl>
      <w:tblPr>
        <w:tblW w:w="9359" w:type="dxa"/>
        <w:tblLayout w:type="fixed"/>
        <w:tblLook w:val="06A0" w:firstRow="1" w:lastRow="0" w:firstColumn="1" w:lastColumn="0" w:noHBand="1" w:noVBand="1"/>
      </w:tblPr>
      <w:tblGrid>
        <w:gridCol w:w="2625"/>
        <w:gridCol w:w="4229"/>
        <w:gridCol w:w="2505"/>
      </w:tblGrid>
      <w:tr w:rsidR="27987755" w14:paraId="0D22CE92" w14:textId="77777777" w:rsidTr="72AE07C6">
        <w:trPr>
          <w:trHeight w:val="285"/>
        </w:trPr>
        <w:tc>
          <w:tcPr>
            <w:tcW w:w="2625" w:type="dxa"/>
            <w:tcBorders>
              <w:top w:val="nil"/>
              <w:left w:val="nil"/>
              <w:bottom w:val="single" w:sz="12" w:space="0" w:color="FFFFFF" w:themeColor="background1"/>
              <w:right w:val="single" w:sz="4" w:space="0" w:color="auto"/>
            </w:tcBorders>
            <w:shd w:val="clear" w:color="auto" w:fill="4472C4" w:themeFill="accent1"/>
            <w:tcMar>
              <w:top w:w="15" w:type="dxa"/>
              <w:left w:w="15" w:type="dxa"/>
              <w:right w:w="15" w:type="dxa"/>
            </w:tcMar>
            <w:vAlign w:val="bottom"/>
          </w:tcPr>
          <w:p w14:paraId="28A63711" w14:textId="0491C4BF" w:rsidR="27987755" w:rsidRDefault="27987755" w:rsidP="27987755">
            <w:pPr>
              <w:spacing w:after="0"/>
            </w:pPr>
            <w:proofErr w:type="spellStart"/>
            <w:r w:rsidRPr="27987755">
              <w:rPr>
                <w:rFonts w:ascii="Calibri" w:eastAsia="Calibri" w:hAnsi="Calibri" w:cs="Calibri"/>
                <w:b/>
                <w:bCs/>
                <w:color w:val="FFFFFF" w:themeColor="background1"/>
              </w:rPr>
              <w:t>clinical_information</w:t>
            </w:r>
            <w:proofErr w:type="spellEnd"/>
          </w:p>
        </w:tc>
        <w:tc>
          <w:tcPr>
            <w:tcW w:w="4229" w:type="dxa"/>
            <w:tcBorders>
              <w:top w:val="nil"/>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71E37B8C" w14:textId="42E10132" w:rsidR="27987755" w:rsidRDefault="27987755" w:rsidP="27987755">
            <w:pPr>
              <w:spacing w:after="0"/>
            </w:pPr>
            <w:r w:rsidRPr="27987755">
              <w:rPr>
                <w:rFonts w:ascii="Calibri" w:eastAsia="Calibri" w:hAnsi="Calibri" w:cs="Calibri"/>
                <w:b/>
                <w:bCs/>
                <w:color w:val="FFFFFF" w:themeColor="background1"/>
              </w:rPr>
              <w:t>findings</w:t>
            </w:r>
          </w:p>
        </w:tc>
        <w:tc>
          <w:tcPr>
            <w:tcW w:w="2505" w:type="dxa"/>
            <w:tcBorders>
              <w:top w:val="nil"/>
              <w:left w:val="single" w:sz="4" w:space="0" w:color="FFFFFF" w:themeColor="background1"/>
              <w:bottom w:val="single" w:sz="12" w:space="0" w:color="FFFFFF" w:themeColor="background1"/>
              <w:right w:val="nil"/>
            </w:tcBorders>
            <w:shd w:val="clear" w:color="auto" w:fill="4472C4" w:themeFill="accent1"/>
            <w:tcMar>
              <w:top w:w="15" w:type="dxa"/>
              <w:left w:w="15" w:type="dxa"/>
              <w:right w:w="15" w:type="dxa"/>
            </w:tcMar>
            <w:vAlign w:val="bottom"/>
          </w:tcPr>
          <w:p w14:paraId="67C2AE24" w14:textId="13203479" w:rsidR="27987755" w:rsidRDefault="27987755" w:rsidP="27987755">
            <w:pPr>
              <w:spacing w:after="0"/>
            </w:pPr>
            <w:r w:rsidRPr="27987755">
              <w:rPr>
                <w:rFonts w:ascii="Calibri" w:eastAsia="Calibri" w:hAnsi="Calibri" w:cs="Calibri"/>
                <w:b/>
                <w:bCs/>
                <w:color w:val="FFFFFF" w:themeColor="background1"/>
              </w:rPr>
              <w:t>impression</w:t>
            </w:r>
          </w:p>
        </w:tc>
      </w:tr>
      <w:tr w:rsidR="27987755" w14:paraId="3DA487B3" w14:textId="77777777" w:rsidTr="72AE07C6">
        <w:trPr>
          <w:trHeight w:val="2610"/>
        </w:trPr>
        <w:tc>
          <w:tcPr>
            <w:tcW w:w="2625" w:type="dxa"/>
            <w:tcBorders>
              <w:top w:val="single" w:sz="4" w:space="0" w:color="FFFFFF" w:themeColor="background1"/>
              <w:left w:val="nil"/>
              <w:bottom w:val="nil"/>
              <w:right w:val="single" w:sz="4" w:space="0" w:color="auto"/>
            </w:tcBorders>
            <w:shd w:val="clear" w:color="auto" w:fill="B4C6E7" w:themeFill="accent1" w:themeFillTint="66"/>
            <w:tcMar>
              <w:top w:w="15" w:type="dxa"/>
              <w:left w:w="15" w:type="dxa"/>
              <w:right w:w="15" w:type="dxa"/>
            </w:tcMar>
            <w:vAlign w:val="bottom"/>
          </w:tcPr>
          <w:p w14:paraId="1F280DC6" w14:textId="4F67223B" w:rsidR="27987755" w:rsidRDefault="27987755" w:rsidP="27987755">
            <w:pPr>
              <w:spacing w:after="0"/>
            </w:pPr>
            <w:r w:rsidRPr="27987755">
              <w:rPr>
                <w:rFonts w:ascii="Calibri" w:eastAsia="Calibri" w:hAnsi="Calibri" w:cs="Calibri"/>
                <w:color w:val="000000" w:themeColor="text1"/>
              </w:rPr>
              <w:t xml:space="preserve">Male, 71 years </w:t>
            </w:r>
            <w:proofErr w:type="spellStart"/>
            <w:proofErr w:type="gramStart"/>
            <w:r w:rsidRPr="27987755">
              <w:rPr>
                <w:rFonts w:ascii="Calibri" w:eastAsia="Calibri" w:hAnsi="Calibri" w:cs="Calibri"/>
                <w:color w:val="000000" w:themeColor="text1"/>
              </w:rPr>
              <w:t>old.Chronic</w:t>
            </w:r>
            <w:proofErr w:type="spellEnd"/>
            <w:proofErr w:type="gramEnd"/>
            <w:r w:rsidRPr="27987755">
              <w:rPr>
                <w:rFonts w:ascii="Calibri" w:eastAsia="Calibri" w:hAnsi="Calibri" w:cs="Calibri"/>
                <w:color w:val="000000" w:themeColor="text1"/>
              </w:rPr>
              <w:t xml:space="preserve"> renal disease. Assess lung fields.</w:t>
            </w:r>
          </w:p>
        </w:tc>
        <w:tc>
          <w:tcPr>
            <w:tcW w:w="4229" w:type="dxa"/>
            <w:tcBorders>
              <w:top w:val="single" w:sz="4" w:space="0" w:color="FFFFFF" w:themeColor="background1"/>
              <w:left w:val="single" w:sz="4" w:space="0" w:color="auto"/>
              <w:bottom w:val="nil"/>
              <w:right w:val="single" w:sz="4" w:space="0" w:color="auto"/>
            </w:tcBorders>
            <w:shd w:val="clear" w:color="auto" w:fill="B4C6E7" w:themeFill="accent1" w:themeFillTint="66"/>
            <w:tcMar>
              <w:top w:w="15" w:type="dxa"/>
              <w:left w:w="15" w:type="dxa"/>
              <w:right w:w="15" w:type="dxa"/>
            </w:tcMar>
            <w:vAlign w:val="bottom"/>
          </w:tcPr>
          <w:p w14:paraId="6211570E" w14:textId="6A290FCF" w:rsidR="27987755" w:rsidRDefault="27987755" w:rsidP="27987755">
            <w:pPr>
              <w:spacing w:after="0"/>
            </w:pPr>
            <w:bookmarkStart w:id="9" w:name="_Int_fpBtgfoK"/>
            <w:r w:rsidRPr="27987755">
              <w:rPr>
                <w:rFonts w:ascii="Calibri" w:eastAsia="Calibri" w:hAnsi="Calibri" w:cs="Calibri"/>
                <w:color w:val="000000" w:themeColor="text1"/>
              </w:rPr>
              <w:t>Moderate to severe bilateral interstitial opacities in both mid and lower lungs as well as pleural effusions and cardiomegaly are noted although somewhat improved from previous.</w:t>
            </w:r>
            <w:bookmarkEnd w:id="9"/>
            <w:r w:rsidRPr="27987755">
              <w:rPr>
                <w:rFonts w:ascii="Calibri" w:eastAsia="Calibri" w:hAnsi="Calibri" w:cs="Calibri"/>
                <w:color w:val="000000" w:themeColor="text1"/>
              </w:rPr>
              <w:t xml:space="preserve"> These findings may reflect pulmonary edema with some improvement. Right central line tip over the SVC. </w:t>
            </w:r>
            <w:proofErr w:type="spellStart"/>
            <w:r w:rsidRPr="27987755">
              <w:rPr>
                <w:rFonts w:ascii="Calibri" w:eastAsia="Calibri" w:hAnsi="Calibri" w:cs="Calibri"/>
                <w:color w:val="000000" w:themeColor="text1"/>
              </w:rPr>
              <w:t>Dobbhoff</w:t>
            </w:r>
            <w:proofErr w:type="spellEnd"/>
            <w:r w:rsidRPr="27987755">
              <w:rPr>
                <w:rFonts w:ascii="Calibri" w:eastAsia="Calibri" w:hAnsi="Calibri" w:cs="Calibri"/>
                <w:color w:val="000000" w:themeColor="text1"/>
              </w:rPr>
              <w:t xml:space="preserve"> tube below the diaphragms tracheostomy tube again noted. LVAD and ICD again present, unchanged. No pneumothorax.</w:t>
            </w:r>
          </w:p>
        </w:tc>
        <w:tc>
          <w:tcPr>
            <w:tcW w:w="2505" w:type="dxa"/>
            <w:tcBorders>
              <w:top w:val="single" w:sz="4" w:space="0" w:color="FFFFFF" w:themeColor="background1"/>
              <w:left w:val="single" w:sz="4" w:space="0" w:color="auto"/>
              <w:bottom w:val="nil"/>
              <w:right w:val="single" w:sz="4" w:space="0" w:color="auto"/>
            </w:tcBorders>
            <w:shd w:val="clear" w:color="auto" w:fill="B4C6E7" w:themeFill="accent1" w:themeFillTint="66"/>
            <w:tcMar>
              <w:top w:w="15" w:type="dxa"/>
              <w:left w:w="15" w:type="dxa"/>
              <w:right w:w="15" w:type="dxa"/>
            </w:tcMar>
            <w:vAlign w:val="bottom"/>
          </w:tcPr>
          <w:p w14:paraId="48460A8D" w14:textId="2B9A5C5E" w:rsidR="27987755" w:rsidRDefault="27987755" w:rsidP="27987755">
            <w:pPr>
              <w:spacing w:after="0"/>
            </w:pPr>
            <w:r w:rsidRPr="27987755">
              <w:rPr>
                <w:rFonts w:ascii="Calibri" w:eastAsia="Calibri" w:hAnsi="Calibri" w:cs="Calibri"/>
                <w:color w:val="000000" w:themeColor="text1"/>
              </w:rPr>
              <w:t>Moderate pulmonary edema pattern, slightly improved from previous.</w:t>
            </w:r>
          </w:p>
        </w:tc>
      </w:tr>
    </w:tbl>
    <w:p w14:paraId="1A5066FB" w14:textId="43627C83" w:rsidR="7D19A4B6" w:rsidRDefault="7D19A4B6" w:rsidP="27987755">
      <w:r>
        <w:br w:type="page"/>
      </w:r>
    </w:p>
    <w:p w14:paraId="672098F1" w14:textId="359CCD76" w:rsidR="7D19A4B6" w:rsidRDefault="5D15175B" w:rsidP="72AE07C6">
      <w:r w:rsidRPr="72AE07C6">
        <w:rPr>
          <w:rFonts w:ascii="Times New Roman" w:eastAsia="Times New Roman" w:hAnsi="Times New Roman" w:cs="Times New Roman"/>
          <w:sz w:val="24"/>
          <w:szCs w:val="24"/>
        </w:rPr>
        <w:lastRenderedPageBreak/>
        <w:t>Table 2</w:t>
      </w:r>
      <w:r w:rsidR="2B8A1E61" w:rsidRPr="72AE07C6">
        <w:rPr>
          <w:rFonts w:ascii="Times New Roman" w:eastAsia="Times New Roman" w:hAnsi="Times New Roman" w:cs="Times New Roman"/>
          <w:sz w:val="24"/>
          <w:szCs w:val="24"/>
        </w:rPr>
        <w:t xml:space="preserve">: Dataset distribution based on </w:t>
      </w:r>
      <w:proofErr w:type="gramStart"/>
      <w:r w:rsidR="2B8A1E61" w:rsidRPr="72AE07C6">
        <w:rPr>
          <w:rFonts w:ascii="Times New Roman" w:eastAsia="Times New Roman" w:hAnsi="Times New Roman" w:cs="Times New Roman"/>
          <w:sz w:val="24"/>
          <w:szCs w:val="24"/>
        </w:rPr>
        <w:t>Modality</w:t>
      </w:r>
      <w:proofErr w:type="gramEnd"/>
    </w:p>
    <w:tbl>
      <w:tblPr>
        <w:tblW w:w="0" w:type="auto"/>
        <w:tblLayout w:type="fixed"/>
        <w:tblLook w:val="06A0" w:firstRow="1" w:lastRow="0" w:firstColumn="1" w:lastColumn="0" w:noHBand="1" w:noVBand="1"/>
      </w:tblPr>
      <w:tblGrid>
        <w:gridCol w:w="1590"/>
        <w:gridCol w:w="2365"/>
      </w:tblGrid>
      <w:tr w:rsidR="27987755" w14:paraId="1E74C5EE" w14:textId="77777777" w:rsidTr="27987755">
        <w:trPr>
          <w:trHeight w:val="285"/>
        </w:trPr>
        <w:tc>
          <w:tcPr>
            <w:tcW w:w="1590" w:type="dxa"/>
            <w:tcBorders>
              <w:top w:val="nil"/>
              <w:left w:val="nil"/>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3DD3926D" w14:textId="7F0B5C39" w:rsidR="27987755" w:rsidRDefault="27987755" w:rsidP="27987755">
            <w:pPr>
              <w:spacing w:after="0"/>
              <w:jc w:val="center"/>
            </w:pPr>
            <w:r w:rsidRPr="27987755">
              <w:rPr>
                <w:rFonts w:ascii="Calibri" w:eastAsia="Calibri" w:hAnsi="Calibri" w:cs="Calibri"/>
                <w:b/>
                <w:bCs/>
                <w:color w:val="FFFFFF" w:themeColor="background1"/>
              </w:rPr>
              <w:t xml:space="preserve">Modality </w:t>
            </w:r>
          </w:p>
        </w:tc>
        <w:tc>
          <w:tcPr>
            <w:tcW w:w="2365" w:type="dxa"/>
            <w:tcBorders>
              <w:top w:val="nil"/>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2D6543C0" w14:textId="72620F03" w:rsidR="73782818" w:rsidRDefault="73782818" w:rsidP="27987755">
            <w:pPr>
              <w:spacing w:after="0"/>
              <w:jc w:val="center"/>
              <w:rPr>
                <w:rFonts w:ascii="Calibri" w:eastAsia="Calibri" w:hAnsi="Calibri" w:cs="Calibri"/>
                <w:b/>
                <w:bCs/>
                <w:color w:val="FFFFFF" w:themeColor="background1"/>
              </w:rPr>
            </w:pPr>
            <w:r w:rsidRPr="27987755">
              <w:rPr>
                <w:rFonts w:ascii="Calibri" w:eastAsia="Calibri" w:hAnsi="Calibri" w:cs="Calibri"/>
                <w:b/>
                <w:bCs/>
                <w:color w:val="FFFFFF" w:themeColor="background1"/>
              </w:rPr>
              <w:t xml:space="preserve">Approx. </w:t>
            </w:r>
            <w:r w:rsidR="27987755" w:rsidRPr="27987755">
              <w:rPr>
                <w:rFonts w:ascii="Calibri" w:eastAsia="Calibri" w:hAnsi="Calibri" w:cs="Calibri"/>
                <w:b/>
                <w:bCs/>
                <w:color w:val="FFFFFF" w:themeColor="background1"/>
              </w:rPr>
              <w:t>Percentage</w:t>
            </w:r>
          </w:p>
        </w:tc>
      </w:tr>
      <w:tr w:rsidR="27987755" w14:paraId="5159967A"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740E4F42" w14:textId="209BE3B3" w:rsidR="27987755" w:rsidRDefault="27987755" w:rsidP="27987755">
            <w:pPr>
              <w:spacing w:after="0"/>
              <w:jc w:val="center"/>
              <w:rPr>
                <w:rFonts w:ascii="Calibri" w:eastAsia="Calibri" w:hAnsi="Calibri" w:cs="Calibri"/>
                <w:color w:val="000000" w:themeColor="text1"/>
              </w:rPr>
            </w:pPr>
            <w:bookmarkStart w:id="10" w:name="_Int_WbCK31XX"/>
            <w:r w:rsidRPr="27987755">
              <w:rPr>
                <w:rFonts w:ascii="Calibri" w:eastAsia="Calibri" w:hAnsi="Calibri" w:cs="Calibri"/>
                <w:color w:val="000000" w:themeColor="text1"/>
              </w:rPr>
              <w:t>CT</w:t>
            </w:r>
            <w:bookmarkEnd w:id="10"/>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5A1D64C1" w14:textId="2662E5B9" w:rsidR="27987755" w:rsidRDefault="27987755" w:rsidP="27987755">
            <w:pPr>
              <w:spacing w:after="0"/>
              <w:jc w:val="center"/>
            </w:pPr>
            <w:r w:rsidRPr="27987755">
              <w:rPr>
                <w:rFonts w:ascii="Calibri" w:eastAsia="Calibri" w:hAnsi="Calibri" w:cs="Calibri"/>
                <w:color w:val="000000" w:themeColor="text1"/>
              </w:rPr>
              <w:t>90.97%</w:t>
            </w:r>
          </w:p>
        </w:tc>
      </w:tr>
      <w:tr w:rsidR="27987755" w14:paraId="1A284BAA"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15580891" w14:textId="564DA6DF" w:rsidR="27987755" w:rsidRDefault="27987755" w:rsidP="27987755">
            <w:pPr>
              <w:spacing w:after="0"/>
              <w:jc w:val="center"/>
            </w:pPr>
            <w:r w:rsidRPr="27987755">
              <w:rPr>
                <w:rFonts w:ascii="Calibri" w:eastAsia="Calibri" w:hAnsi="Calibri" w:cs="Calibri"/>
                <w:color w:val="000000" w:themeColor="text1"/>
              </w:rPr>
              <w:t>X-Ray</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1E5ACBB7" w14:textId="5F08385D" w:rsidR="27987755" w:rsidRDefault="27987755" w:rsidP="27987755">
            <w:pPr>
              <w:spacing w:after="0"/>
              <w:jc w:val="center"/>
            </w:pPr>
            <w:r w:rsidRPr="27987755">
              <w:rPr>
                <w:rFonts w:ascii="Calibri" w:eastAsia="Calibri" w:hAnsi="Calibri" w:cs="Calibri"/>
                <w:color w:val="000000" w:themeColor="text1"/>
              </w:rPr>
              <w:t>0.01%</w:t>
            </w:r>
          </w:p>
        </w:tc>
      </w:tr>
      <w:tr w:rsidR="27987755" w14:paraId="7416DA7E"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75E370A7" w14:textId="1D34F145" w:rsidR="27987755" w:rsidRDefault="27987755" w:rsidP="27987755">
            <w:pPr>
              <w:spacing w:after="0"/>
              <w:jc w:val="center"/>
              <w:rPr>
                <w:rFonts w:ascii="Calibri" w:eastAsia="Calibri" w:hAnsi="Calibri" w:cs="Calibri"/>
                <w:color w:val="000000" w:themeColor="text1"/>
              </w:rPr>
            </w:pPr>
            <w:bookmarkStart w:id="11" w:name="_Int_Qfj4LlfF"/>
            <w:r w:rsidRPr="27987755">
              <w:rPr>
                <w:rFonts w:ascii="Calibri" w:eastAsia="Calibri" w:hAnsi="Calibri" w:cs="Calibri"/>
                <w:color w:val="000000" w:themeColor="text1"/>
              </w:rPr>
              <w:t>MRI</w:t>
            </w:r>
            <w:bookmarkEnd w:id="11"/>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336BBB9F" w14:textId="1A24B286" w:rsidR="27987755" w:rsidRDefault="27987755" w:rsidP="27987755">
            <w:pPr>
              <w:spacing w:after="0"/>
              <w:jc w:val="center"/>
            </w:pPr>
            <w:r w:rsidRPr="27987755">
              <w:rPr>
                <w:rFonts w:ascii="Calibri" w:eastAsia="Calibri" w:hAnsi="Calibri" w:cs="Calibri"/>
                <w:color w:val="000000" w:themeColor="text1"/>
              </w:rPr>
              <w:t>6.56%</w:t>
            </w:r>
          </w:p>
        </w:tc>
      </w:tr>
      <w:tr w:rsidR="27987755" w14:paraId="2735D592"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0FC380D6" w14:textId="395C44E9" w:rsidR="27987755" w:rsidRDefault="27987755" w:rsidP="27987755">
            <w:pPr>
              <w:spacing w:after="0"/>
              <w:jc w:val="center"/>
            </w:pPr>
            <w:r w:rsidRPr="27987755">
              <w:rPr>
                <w:rFonts w:ascii="Calibri" w:eastAsia="Calibri" w:hAnsi="Calibri" w:cs="Calibri"/>
                <w:color w:val="000000" w:themeColor="text1"/>
              </w:rPr>
              <w:t>Ultrasound</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538B10EA" w14:textId="431218EE" w:rsidR="27987755" w:rsidRDefault="27987755" w:rsidP="27987755">
            <w:pPr>
              <w:spacing w:after="0"/>
              <w:jc w:val="center"/>
            </w:pPr>
            <w:r w:rsidRPr="27987755">
              <w:rPr>
                <w:rFonts w:ascii="Calibri" w:eastAsia="Calibri" w:hAnsi="Calibri" w:cs="Calibri"/>
                <w:color w:val="000000" w:themeColor="text1"/>
              </w:rPr>
              <w:t>1.26%</w:t>
            </w:r>
          </w:p>
        </w:tc>
      </w:tr>
      <w:tr w:rsidR="27987755" w14:paraId="0B75D0B1"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5A7DDE3D" w14:textId="6CA485A7" w:rsidR="27987755" w:rsidRDefault="27987755" w:rsidP="27987755">
            <w:pPr>
              <w:spacing w:after="0"/>
              <w:jc w:val="center"/>
            </w:pPr>
            <w:r w:rsidRPr="27987755">
              <w:rPr>
                <w:rFonts w:ascii="Calibri" w:eastAsia="Calibri" w:hAnsi="Calibri" w:cs="Calibri"/>
                <w:color w:val="000000" w:themeColor="text1"/>
              </w:rPr>
              <w:t>Fluid</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706C3AB8" w14:textId="24D1A08F" w:rsidR="27987755" w:rsidRDefault="27987755" w:rsidP="27987755">
            <w:pPr>
              <w:spacing w:after="0"/>
              <w:jc w:val="center"/>
            </w:pPr>
            <w:r w:rsidRPr="27987755">
              <w:rPr>
                <w:rFonts w:ascii="Calibri" w:eastAsia="Calibri" w:hAnsi="Calibri" w:cs="Calibri"/>
                <w:color w:val="000000" w:themeColor="text1"/>
              </w:rPr>
              <w:t>0.06%</w:t>
            </w:r>
          </w:p>
        </w:tc>
      </w:tr>
      <w:tr w:rsidR="27987755" w14:paraId="6AD54C8D"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3D83F7F9" w14:textId="563038E4" w:rsidR="27987755" w:rsidRDefault="27987755" w:rsidP="27987755">
            <w:pPr>
              <w:spacing w:after="0"/>
              <w:jc w:val="center"/>
            </w:pPr>
            <w:r w:rsidRPr="27987755">
              <w:rPr>
                <w:rFonts w:ascii="Calibri" w:eastAsia="Calibri" w:hAnsi="Calibri" w:cs="Calibri"/>
                <w:color w:val="000000" w:themeColor="text1"/>
              </w:rPr>
              <w:t>MRA</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3329197A" w14:textId="5295377E" w:rsidR="27987755" w:rsidRDefault="27987755" w:rsidP="27987755">
            <w:pPr>
              <w:spacing w:after="0"/>
              <w:jc w:val="center"/>
            </w:pPr>
            <w:r w:rsidRPr="27987755">
              <w:rPr>
                <w:rFonts w:ascii="Calibri" w:eastAsia="Calibri" w:hAnsi="Calibri" w:cs="Calibri"/>
                <w:color w:val="000000" w:themeColor="text1"/>
              </w:rPr>
              <w:t>0.36%</w:t>
            </w:r>
          </w:p>
        </w:tc>
      </w:tr>
      <w:tr w:rsidR="27987755" w14:paraId="1AF851F7"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06237EA6" w14:textId="60AE6351" w:rsidR="27987755" w:rsidRDefault="27987755" w:rsidP="27987755">
            <w:pPr>
              <w:spacing w:after="0"/>
              <w:jc w:val="center"/>
            </w:pPr>
            <w:r w:rsidRPr="27987755">
              <w:rPr>
                <w:rFonts w:ascii="Calibri" w:eastAsia="Calibri" w:hAnsi="Calibri" w:cs="Calibri"/>
                <w:color w:val="000000" w:themeColor="text1"/>
              </w:rPr>
              <w:t>PET</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42BEEA71" w14:textId="77F95413" w:rsidR="27987755" w:rsidRDefault="27987755" w:rsidP="27987755">
            <w:pPr>
              <w:spacing w:after="0"/>
              <w:jc w:val="center"/>
            </w:pPr>
            <w:r w:rsidRPr="27987755">
              <w:rPr>
                <w:rFonts w:ascii="Calibri" w:eastAsia="Calibri" w:hAnsi="Calibri" w:cs="Calibri"/>
                <w:color w:val="000000" w:themeColor="text1"/>
              </w:rPr>
              <w:t>0.77%</w:t>
            </w:r>
          </w:p>
        </w:tc>
      </w:tr>
      <w:tr w:rsidR="27987755" w14:paraId="6A293734"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050F1A79" w14:textId="216F49E5" w:rsidR="27987755" w:rsidRDefault="27987755" w:rsidP="27987755">
            <w:pPr>
              <w:spacing w:after="0"/>
              <w:jc w:val="center"/>
            </w:pPr>
            <w:r w:rsidRPr="27987755">
              <w:rPr>
                <w:rFonts w:ascii="Calibri" w:eastAsia="Calibri" w:hAnsi="Calibri" w:cs="Calibri"/>
                <w:color w:val="000000" w:themeColor="text1"/>
              </w:rPr>
              <w:t>Sonogram</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773F8B06" w14:textId="47BC492D" w:rsidR="27987755" w:rsidRDefault="27987755" w:rsidP="27987755">
            <w:pPr>
              <w:spacing w:after="0"/>
              <w:jc w:val="center"/>
            </w:pPr>
            <w:r w:rsidRPr="27987755">
              <w:rPr>
                <w:rFonts w:ascii="Calibri" w:eastAsia="Calibri" w:hAnsi="Calibri" w:cs="Calibri"/>
                <w:color w:val="000000" w:themeColor="text1"/>
              </w:rPr>
              <w:t>0.01%</w:t>
            </w:r>
          </w:p>
        </w:tc>
      </w:tr>
      <w:tr w:rsidR="27987755" w14:paraId="6773FB2F" w14:textId="77777777" w:rsidTr="27987755">
        <w:trPr>
          <w:trHeight w:val="285"/>
        </w:trPr>
        <w:tc>
          <w:tcPr>
            <w:tcW w:w="159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6D11F159" w14:textId="1C6AA456" w:rsidR="27987755" w:rsidRDefault="27987755" w:rsidP="27987755">
            <w:pPr>
              <w:spacing w:after="0"/>
              <w:jc w:val="center"/>
            </w:pPr>
            <w:r w:rsidRPr="27987755">
              <w:rPr>
                <w:rFonts w:ascii="Calibri" w:eastAsia="Calibri" w:hAnsi="Calibri" w:cs="Calibri"/>
                <w:color w:val="000000" w:themeColor="text1"/>
              </w:rPr>
              <w:t>Mammogram</w:t>
            </w:r>
          </w:p>
        </w:tc>
        <w:tc>
          <w:tcPr>
            <w:tcW w:w="2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4BDCC0FC" w14:textId="65D8BDB0" w:rsidR="27987755" w:rsidRDefault="27987755" w:rsidP="27987755">
            <w:pPr>
              <w:spacing w:after="0"/>
              <w:jc w:val="center"/>
            </w:pPr>
            <w:r w:rsidRPr="27987755">
              <w:rPr>
                <w:rFonts w:ascii="Calibri" w:eastAsia="Calibri" w:hAnsi="Calibri" w:cs="Calibri"/>
                <w:color w:val="000000" w:themeColor="text1"/>
              </w:rPr>
              <w:t>0.00%</w:t>
            </w:r>
          </w:p>
        </w:tc>
      </w:tr>
      <w:tr w:rsidR="27987755" w14:paraId="76FF09F7" w14:textId="77777777" w:rsidTr="27987755">
        <w:trPr>
          <w:trHeight w:val="285"/>
        </w:trPr>
        <w:tc>
          <w:tcPr>
            <w:tcW w:w="1590" w:type="dxa"/>
            <w:tcBorders>
              <w:top w:val="single" w:sz="4" w:space="0" w:color="FFFFFF" w:themeColor="background1"/>
              <w:left w:val="nil"/>
              <w:bottom w:val="nil"/>
              <w:right w:val="single" w:sz="4" w:space="0" w:color="FFFFFF" w:themeColor="background1"/>
            </w:tcBorders>
            <w:shd w:val="clear" w:color="auto" w:fill="D9E1F2"/>
            <w:tcMar>
              <w:top w:w="15" w:type="dxa"/>
              <w:left w:w="15" w:type="dxa"/>
              <w:right w:w="15" w:type="dxa"/>
            </w:tcMar>
            <w:vAlign w:val="bottom"/>
          </w:tcPr>
          <w:p w14:paraId="1C384DB6" w14:textId="097EF830" w:rsidR="27987755" w:rsidRDefault="27987755" w:rsidP="27987755">
            <w:pPr>
              <w:spacing w:after="0"/>
              <w:jc w:val="center"/>
            </w:pPr>
            <w:r w:rsidRPr="27987755">
              <w:rPr>
                <w:rFonts w:ascii="Calibri" w:eastAsia="Calibri" w:hAnsi="Calibri" w:cs="Calibri"/>
                <w:b/>
                <w:bCs/>
                <w:color w:val="000000" w:themeColor="text1"/>
              </w:rPr>
              <w:t>Total Reports</w:t>
            </w:r>
          </w:p>
        </w:tc>
        <w:tc>
          <w:tcPr>
            <w:tcW w:w="2365" w:type="dxa"/>
            <w:tcBorders>
              <w:top w:val="single" w:sz="4" w:space="0" w:color="FFFFFF" w:themeColor="background1"/>
              <w:left w:val="single" w:sz="4" w:space="0" w:color="FFFFFF" w:themeColor="background1"/>
              <w:bottom w:val="nil"/>
              <w:right w:val="single" w:sz="4" w:space="0" w:color="FFFFFF" w:themeColor="background1"/>
            </w:tcBorders>
            <w:shd w:val="clear" w:color="auto" w:fill="D9E1F2"/>
            <w:tcMar>
              <w:top w:w="15" w:type="dxa"/>
              <w:left w:w="15" w:type="dxa"/>
              <w:right w:w="15" w:type="dxa"/>
            </w:tcMar>
            <w:vAlign w:val="bottom"/>
          </w:tcPr>
          <w:p w14:paraId="01170C26" w14:textId="79966B9D" w:rsidR="27987755" w:rsidRDefault="27987755" w:rsidP="27987755">
            <w:pPr>
              <w:spacing w:after="0"/>
              <w:jc w:val="center"/>
            </w:pPr>
            <w:r w:rsidRPr="27987755">
              <w:rPr>
                <w:rFonts w:ascii="Calibri" w:eastAsia="Calibri" w:hAnsi="Calibri" w:cs="Calibri"/>
                <w:color w:val="000000" w:themeColor="text1"/>
              </w:rPr>
              <w:t xml:space="preserve">      789,278.00</w:t>
            </w:r>
          </w:p>
        </w:tc>
      </w:tr>
    </w:tbl>
    <w:p w14:paraId="6474AE8D" w14:textId="5B9602D1" w:rsidR="27987755" w:rsidRDefault="27987755" w:rsidP="27987755">
      <w:pPr>
        <w:rPr>
          <w:rFonts w:ascii="Times New Roman" w:eastAsia="Times New Roman" w:hAnsi="Times New Roman" w:cs="Times New Roman"/>
          <w:sz w:val="24"/>
          <w:szCs w:val="24"/>
        </w:rPr>
      </w:pPr>
    </w:p>
    <w:p w14:paraId="6EA51C7B" w14:textId="2D937F11" w:rsidR="22794B50" w:rsidRDefault="22794B50" w:rsidP="27987755">
      <w:pPr>
        <w:rPr>
          <w:rFonts w:ascii="Times New Roman" w:eastAsia="Times New Roman" w:hAnsi="Times New Roman" w:cs="Times New Roman"/>
          <w:sz w:val="24"/>
          <w:szCs w:val="24"/>
        </w:rPr>
      </w:pPr>
      <w:r w:rsidRPr="27987755">
        <w:rPr>
          <w:rFonts w:ascii="Times New Roman" w:eastAsia="Times New Roman" w:hAnsi="Times New Roman" w:cs="Times New Roman"/>
          <w:sz w:val="24"/>
          <w:szCs w:val="24"/>
        </w:rPr>
        <w:t>Table 3</w:t>
      </w:r>
      <w:r w:rsidR="34F71896" w:rsidRPr="27987755">
        <w:rPr>
          <w:rFonts w:ascii="Times New Roman" w:eastAsia="Times New Roman" w:hAnsi="Times New Roman" w:cs="Times New Roman"/>
          <w:sz w:val="24"/>
          <w:szCs w:val="24"/>
        </w:rPr>
        <w:t>: Average words and sentences for F</w:t>
      </w:r>
      <w:r w:rsidR="165279DB" w:rsidRPr="27987755">
        <w:rPr>
          <w:rFonts w:ascii="Times New Roman" w:eastAsia="Times New Roman" w:hAnsi="Times New Roman" w:cs="Times New Roman"/>
          <w:sz w:val="24"/>
          <w:szCs w:val="24"/>
        </w:rPr>
        <w:t>indings, Impression and Clinical Information</w:t>
      </w:r>
    </w:p>
    <w:tbl>
      <w:tblPr>
        <w:tblW w:w="0" w:type="auto"/>
        <w:tblLayout w:type="fixed"/>
        <w:tblLook w:val="06A0" w:firstRow="1" w:lastRow="0" w:firstColumn="1" w:lastColumn="0" w:noHBand="1" w:noVBand="1"/>
      </w:tblPr>
      <w:tblGrid>
        <w:gridCol w:w="2239"/>
        <w:gridCol w:w="2033"/>
        <w:gridCol w:w="2368"/>
      </w:tblGrid>
      <w:tr w:rsidR="27987755" w14:paraId="3FAB8F34" w14:textId="77777777" w:rsidTr="27987755">
        <w:trPr>
          <w:trHeight w:val="285"/>
        </w:trPr>
        <w:tc>
          <w:tcPr>
            <w:tcW w:w="2239" w:type="dxa"/>
            <w:tcBorders>
              <w:top w:val="nil"/>
              <w:left w:val="nil"/>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41FE041B" w14:textId="2F6BA505" w:rsidR="27987755" w:rsidRDefault="27987755" w:rsidP="27987755">
            <w:pPr>
              <w:spacing w:after="0"/>
            </w:pPr>
            <w:r w:rsidRPr="27987755">
              <w:rPr>
                <w:rFonts w:ascii="Calibri" w:eastAsia="Calibri" w:hAnsi="Calibri" w:cs="Calibri"/>
                <w:b/>
                <w:bCs/>
                <w:color w:val="FFFFFF" w:themeColor="background1"/>
              </w:rPr>
              <w:t>Data</w:t>
            </w:r>
          </w:p>
        </w:tc>
        <w:tc>
          <w:tcPr>
            <w:tcW w:w="2033" w:type="dxa"/>
            <w:tcBorders>
              <w:top w:val="nil"/>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704409F2" w14:textId="62552122" w:rsidR="27987755" w:rsidRDefault="27987755" w:rsidP="27987755">
            <w:pPr>
              <w:spacing w:after="0"/>
            </w:pPr>
            <w:r w:rsidRPr="27987755">
              <w:rPr>
                <w:rFonts w:ascii="Calibri" w:eastAsia="Calibri" w:hAnsi="Calibri" w:cs="Calibri"/>
                <w:b/>
                <w:bCs/>
                <w:color w:val="FFFFFF" w:themeColor="background1"/>
              </w:rPr>
              <w:t xml:space="preserve">Average </w:t>
            </w:r>
            <w:r w:rsidR="54683535" w:rsidRPr="27987755">
              <w:rPr>
                <w:rFonts w:ascii="Calibri" w:eastAsia="Calibri" w:hAnsi="Calibri" w:cs="Calibri"/>
                <w:b/>
                <w:bCs/>
                <w:color w:val="FFFFFF" w:themeColor="background1"/>
              </w:rPr>
              <w:t>W</w:t>
            </w:r>
            <w:r w:rsidRPr="27987755">
              <w:rPr>
                <w:rFonts w:ascii="Calibri" w:eastAsia="Calibri" w:hAnsi="Calibri" w:cs="Calibri"/>
                <w:b/>
                <w:bCs/>
                <w:color w:val="FFFFFF" w:themeColor="background1"/>
              </w:rPr>
              <w:t xml:space="preserve">ords </w:t>
            </w:r>
          </w:p>
        </w:tc>
        <w:tc>
          <w:tcPr>
            <w:tcW w:w="2368" w:type="dxa"/>
            <w:tcBorders>
              <w:top w:val="nil"/>
              <w:left w:val="single" w:sz="4" w:space="0" w:color="FFFFFF" w:themeColor="background1"/>
              <w:bottom w:val="single" w:sz="12" w:space="0" w:color="FFFFFF" w:themeColor="background1"/>
              <w:right w:val="nil"/>
            </w:tcBorders>
            <w:shd w:val="clear" w:color="auto" w:fill="4472C4" w:themeFill="accent1"/>
            <w:tcMar>
              <w:top w:w="15" w:type="dxa"/>
              <w:left w:w="15" w:type="dxa"/>
              <w:right w:w="15" w:type="dxa"/>
            </w:tcMar>
            <w:vAlign w:val="bottom"/>
          </w:tcPr>
          <w:p w14:paraId="7CE70168" w14:textId="60A86BF6" w:rsidR="27987755" w:rsidRDefault="27987755" w:rsidP="27987755">
            <w:pPr>
              <w:spacing w:after="0"/>
            </w:pPr>
            <w:r w:rsidRPr="27987755">
              <w:rPr>
                <w:rFonts w:ascii="Calibri" w:eastAsia="Calibri" w:hAnsi="Calibri" w:cs="Calibri"/>
                <w:b/>
                <w:bCs/>
                <w:color w:val="FFFFFF" w:themeColor="background1"/>
              </w:rPr>
              <w:t xml:space="preserve">Average </w:t>
            </w:r>
            <w:r w:rsidR="31BEB8FD" w:rsidRPr="27987755">
              <w:rPr>
                <w:rFonts w:ascii="Calibri" w:eastAsia="Calibri" w:hAnsi="Calibri" w:cs="Calibri"/>
                <w:b/>
                <w:bCs/>
                <w:color w:val="FFFFFF" w:themeColor="background1"/>
              </w:rPr>
              <w:t>S</w:t>
            </w:r>
            <w:r w:rsidRPr="27987755">
              <w:rPr>
                <w:rFonts w:ascii="Calibri" w:eastAsia="Calibri" w:hAnsi="Calibri" w:cs="Calibri"/>
                <w:b/>
                <w:bCs/>
                <w:color w:val="FFFFFF" w:themeColor="background1"/>
              </w:rPr>
              <w:t>entences</w:t>
            </w:r>
          </w:p>
        </w:tc>
      </w:tr>
      <w:tr w:rsidR="27987755" w14:paraId="5D28C179" w14:textId="77777777" w:rsidTr="27987755">
        <w:trPr>
          <w:trHeight w:val="285"/>
        </w:trPr>
        <w:tc>
          <w:tcPr>
            <w:tcW w:w="2239"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68580AE8" w14:textId="36010F46" w:rsidR="27987755" w:rsidRDefault="27987755" w:rsidP="27987755">
            <w:pPr>
              <w:spacing w:after="0"/>
            </w:pPr>
            <w:r w:rsidRPr="27987755">
              <w:rPr>
                <w:rFonts w:ascii="Calibri" w:eastAsia="Calibri" w:hAnsi="Calibri" w:cs="Calibri"/>
                <w:b/>
                <w:bCs/>
                <w:color w:val="000000" w:themeColor="text1"/>
              </w:rPr>
              <w:t>Findings</w:t>
            </w:r>
          </w:p>
        </w:tc>
        <w:tc>
          <w:tcPr>
            <w:tcW w:w="20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60DA7FAE" w14:textId="1061F32F" w:rsidR="27987755" w:rsidRDefault="27987755" w:rsidP="27987755">
            <w:pPr>
              <w:spacing w:after="0"/>
            </w:pPr>
            <w:r w:rsidRPr="27987755">
              <w:rPr>
                <w:rFonts w:ascii="Calibri" w:eastAsia="Calibri" w:hAnsi="Calibri" w:cs="Calibri"/>
                <w:color w:val="000000" w:themeColor="text1"/>
              </w:rPr>
              <w:t>130</w:t>
            </w:r>
          </w:p>
        </w:tc>
        <w:tc>
          <w:tcPr>
            <w:tcW w:w="2368"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2959FF86" w14:textId="15A9C6A1" w:rsidR="27987755" w:rsidRDefault="27987755" w:rsidP="27987755">
            <w:pPr>
              <w:spacing w:after="0"/>
            </w:pPr>
            <w:r w:rsidRPr="27987755">
              <w:rPr>
                <w:rFonts w:ascii="Calibri" w:eastAsia="Calibri" w:hAnsi="Calibri" w:cs="Calibri"/>
                <w:color w:val="000000" w:themeColor="text1"/>
              </w:rPr>
              <w:t>6.3</w:t>
            </w:r>
          </w:p>
        </w:tc>
      </w:tr>
      <w:tr w:rsidR="27987755" w14:paraId="09C08FD7" w14:textId="77777777" w:rsidTr="27987755">
        <w:trPr>
          <w:trHeight w:val="285"/>
        </w:trPr>
        <w:tc>
          <w:tcPr>
            <w:tcW w:w="2239"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0F92DFC3" w14:textId="7D02A10A" w:rsidR="27987755" w:rsidRDefault="27987755" w:rsidP="27987755">
            <w:pPr>
              <w:spacing w:after="0"/>
            </w:pPr>
            <w:r w:rsidRPr="27987755">
              <w:rPr>
                <w:rFonts w:ascii="Calibri" w:eastAsia="Calibri" w:hAnsi="Calibri" w:cs="Calibri"/>
                <w:b/>
                <w:bCs/>
                <w:color w:val="000000" w:themeColor="text1"/>
              </w:rPr>
              <w:t>Impression</w:t>
            </w:r>
          </w:p>
        </w:tc>
        <w:tc>
          <w:tcPr>
            <w:tcW w:w="20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6A4EEB3E" w14:textId="6D993CAF" w:rsidR="27987755" w:rsidRDefault="27987755" w:rsidP="27987755">
            <w:pPr>
              <w:spacing w:after="0"/>
            </w:pPr>
            <w:r w:rsidRPr="27987755">
              <w:rPr>
                <w:rFonts w:ascii="Calibri" w:eastAsia="Calibri" w:hAnsi="Calibri" w:cs="Calibri"/>
                <w:color w:val="000000" w:themeColor="text1"/>
              </w:rPr>
              <w:t>29</w:t>
            </w:r>
          </w:p>
        </w:tc>
        <w:tc>
          <w:tcPr>
            <w:tcW w:w="2368"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tcMar>
              <w:top w:w="15" w:type="dxa"/>
              <w:left w:w="15" w:type="dxa"/>
              <w:right w:w="15" w:type="dxa"/>
            </w:tcMar>
            <w:vAlign w:val="bottom"/>
          </w:tcPr>
          <w:p w14:paraId="653694D9" w14:textId="7D53FC31" w:rsidR="27987755" w:rsidRDefault="27987755" w:rsidP="27987755">
            <w:pPr>
              <w:spacing w:after="0"/>
            </w:pPr>
            <w:r w:rsidRPr="27987755">
              <w:rPr>
                <w:rFonts w:ascii="Calibri" w:eastAsia="Calibri" w:hAnsi="Calibri" w:cs="Calibri"/>
                <w:color w:val="000000" w:themeColor="text1"/>
              </w:rPr>
              <w:t>2.4</w:t>
            </w:r>
          </w:p>
        </w:tc>
      </w:tr>
      <w:tr w:rsidR="27987755" w14:paraId="6283A56D" w14:textId="77777777" w:rsidTr="27987755">
        <w:trPr>
          <w:trHeight w:val="285"/>
        </w:trPr>
        <w:tc>
          <w:tcPr>
            <w:tcW w:w="2239" w:type="dxa"/>
            <w:tcBorders>
              <w:top w:val="single" w:sz="4" w:space="0" w:color="FFFFFF" w:themeColor="background1"/>
              <w:left w:val="nil"/>
              <w:bottom w:val="nil"/>
              <w:right w:val="single" w:sz="4" w:space="0" w:color="FFFFFF" w:themeColor="background1"/>
            </w:tcBorders>
            <w:shd w:val="clear" w:color="auto" w:fill="B4C6E7" w:themeFill="accent1" w:themeFillTint="66"/>
            <w:tcMar>
              <w:top w:w="15" w:type="dxa"/>
              <w:left w:w="15" w:type="dxa"/>
              <w:right w:w="15" w:type="dxa"/>
            </w:tcMar>
            <w:vAlign w:val="bottom"/>
          </w:tcPr>
          <w:p w14:paraId="58676C6A" w14:textId="34362175" w:rsidR="27987755" w:rsidRDefault="27987755" w:rsidP="27987755">
            <w:pPr>
              <w:spacing w:after="0"/>
            </w:pPr>
            <w:r w:rsidRPr="27987755">
              <w:rPr>
                <w:rFonts w:ascii="Calibri" w:eastAsia="Calibri" w:hAnsi="Calibri" w:cs="Calibri"/>
                <w:b/>
                <w:bCs/>
                <w:color w:val="000000" w:themeColor="text1"/>
              </w:rPr>
              <w:t>Clinical Information</w:t>
            </w:r>
          </w:p>
        </w:tc>
        <w:tc>
          <w:tcPr>
            <w:tcW w:w="2033" w:type="dxa"/>
            <w:tcBorders>
              <w:top w:val="single" w:sz="4" w:space="0" w:color="FFFFFF" w:themeColor="background1"/>
              <w:left w:val="single" w:sz="4" w:space="0" w:color="FFFFFF" w:themeColor="background1"/>
              <w:bottom w:val="nil"/>
              <w:right w:val="single" w:sz="4" w:space="0" w:color="FFFFFF" w:themeColor="background1"/>
            </w:tcBorders>
            <w:shd w:val="clear" w:color="auto" w:fill="B4C6E7" w:themeFill="accent1" w:themeFillTint="66"/>
            <w:tcMar>
              <w:top w:w="15" w:type="dxa"/>
              <w:left w:w="15" w:type="dxa"/>
              <w:right w:w="15" w:type="dxa"/>
            </w:tcMar>
            <w:vAlign w:val="bottom"/>
          </w:tcPr>
          <w:p w14:paraId="6D3DEB74" w14:textId="7F9FED00" w:rsidR="27987755" w:rsidRDefault="27987755" w:rsidP="27987755">
            <w:pPr>
              <w:spacing w:after="0"/>
            </w:pPr>
            <w:r w:rsidRPr="27987755">
              <w:rPr>
                <w:rFonts w:ascii="Calibri" w:eastAsia="Calibri" w:hAnsi="Calibri" w:cs="Calibri"/>
                <w:color w:val="000000" w:themeColor="text1"/>
              </w:rPr>
              <w:t>16</w:t>
            </w:r>
          </w:p>
        </w:tc>
        <w:tc>
          <w:tcPr>
            <w:tcW w:w="2368" w:type="dxa"/>
            <w:tcBorders>
              <w:top w:val="single" w:sz="4" w:space="0" w:color="FFFFFF" w:themeColor="background1"/>
              <w:left w:val="single" w:sz="4" w:space="0" w:color="FFFFFF" w:themeColor="background1"/>
              <w:bottom w:val="nil"/>
              <w:right w:val="nil"/>
            </w:tcBorders>
            <w:shd w:val="clear" w:color="auto" w:fill="B4C6E7" w:themeFill="accent1" w:themeFillTint="66"/>
            <w:tcMar>
              <w:top w:w="15" w:type="dxa"/>
              <w:left w:w="15" w:type="dxa"/>
              <w:right w:w="15" w:type="dxa"/>
            </w:tcMar>
            <w:vAlign w:val="bottom"/>
          </w:tcPr>
          <w:p w14:paraId="072EFF98" w14:textId="0A5207DE" w:rsidR="27987755" w:rsidRDefault="27987755" w:rsidP="27987755">
            <w:pPr>
              <w:spacing w:after="0"/>
            </w:pPr>
            <w:r w:rsidRPr="27987755">
              <w:rPr>
                <w:rFonts w:ascii="Calibri" w:eastAsia="Calibri" w:hAnsi="Calibri" w:cs="Calibri"/>
                <w:color w:val="000000" w:themeColor="text1"/>
              </w:rPr>
              <w:t>1.6</w:t>
            </w:r>
          </w:p>
        </w:tc>
      </w:tr>
    </w:tbl>
    <w:p w14:paraId="55A226EF" w14:textId="17E2B270" w:rsidR="27987755" w:rsidRDefault="27987755" w:rsidP="27987755">
      <w:pPr>
        <w:rPr>
          <w:rFonts w:ascii="Times New Roman" w:eastAsia="Times New Roman" w:hAnsi="Times New Roman" w:cs="Times New Roman"/>
          <w:b/>
          <w:bCs/>
          <w:sz w:val="28"/>
          <w:szCs w:val="28"/>
        </w:rPr>
      </w:pPr>
    </w:p>
    <w:p w14:paraId="577708CD" w14:textId="15A8E888" w:rsidR="72AE07C6" w:rsidRDefault="72AE07C6" w:rsidP="72AE07C6">
      <w:pPr>
        <w:rPr>
          <w:rFonts w:ascii="Times New Roman" w:eastAsia="Times New Roman" w:hAnsi="Times New Roman" w:cs="Times New Roman"/>
          <w:b/>
          <w:bCs/>
          <w:sz w:val="28"/>
          <w:szCs w:val="28"/>
        </w:rPr>
      </w:pPr>
    </w:p>
    <w:p w14:paraId="7D0A96F4" w14:textId="29D5D4D5" w:rsidR="72AE07C6" w:rsidRDefault="72AE07C6" w:rsidP="5ED733AE">
      <w:pPr>
        <w:rPr>
          <w:rFonts w:ascii="Times New Roman" w:eastAsia="Times New Roman" w:hAnsi="Times New Roman" w:cs="Times New Roman"/>
          <w:b/>
          <w:bCs/>
          <w:sz w:val="28"/>
          <w:szCs w:val="28"/>
        </w:rPr>
      </w:pPr>
    </w:p>
    <w:p w14:paraId="726BCE00" w14:textId="3553920F" w:rsidR="72AE07C6" w:rsidRDefault="4DE38FB9" w:rsidP="5ED733AE">
      <w:pPr>
        <w:pStyle w:val="Heading1"/>
        <w:jc w:val="center"/>
      </w:pPr>
      <w:bookmarkStart w:id="12" w:name="_Toc1618333919"/>
      <w:r>
        <w:t>Methodology</w:t>
      </w:r>
      <w:bookmarkEnd w:id="12"/>
    </w:p>
    <w:p w14:paraId="15F06757" w14:textId="008BF963" w:rsidR="72AE07C6" w:rsidRDefault="72AE07C6" w:rsidP="5ED733AE"/>
    <w:p w14:paraId="1D46D44F"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This capstone project leverages a fine-tuning approach to adapt pre-trained Large Language Models (LLMs) for the generation of personalized radiology report impressions. Fine-tuning is selected due to its ability to efficiently utilize the extensive knowledge embedded in pre-existing LLMs. This approach conserves computational resources and reduces training time, which is crucial given the complex and data-intensive nature of medical texts. The robust dataset provided by UChicago Medicine enables the precise customization of these models to the specific linguistic and clinical nuances encountered in radiology reports.</w:t>
      </w:r>
    </w:p>
    <w:p w14:paraId="414B8D93"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 xml:space="preserve">The project explores a selection of model architectures, including </w:t>
      </w:r>
      <w:proofErr w:type="spellStart"/>
      <w:r w:rsidRPr="00FD6A39">
        <w:rPr>
          <w:rFonts w:ascii="Times New Roman" w:hAnsi="Times New Roman" w:cs="Times New Roman"/>
          <w:sz w:val="24"/>
          <w:szCs w:val="24"/>
        </w:rPr>
        <w:t>LLaMA</w:t>
      </w:r>
      <w:proofErr w:type="spellEnd"/>
      <w:r w:rsidRPr="00FD6A39">
        <w:rPr>
          <w:rFonts w:ascii="Times New Roman" w:hAnsi="Times New Roman" w:cs="Times New Roman"/>
          <w:sz w:val="24"/>
          <w:szCs w:val="24"/>
        </w:rPr>
        <w:t xml:space="preserve"> (3B, 7B) and Mistral (7B), to balance computational efficiency with the capability to generate high-quality outputs. The choice of these models is motivated by their open-source availability, which enhances the reproducibility of the research and allows for broader academic engagement.</w:t>
      </w:r>
    </w:p>
    <w:p w14:paraId="0A83270F"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 xml:space="preserve">Personalization of the generated impressions is achieved through the incorporation of Reinforcement Learning from Human Feedback (RLHF). This technique refines the model </w:t>
      </w:r>
      <w:r w:rsidRPr="00FD6A39">
        <w:rPr>
          <w:rFonts w:ascii="Times New Roman" w:hAnsi="Times New Roman" w:cs="Times New Roman"/>
          <w:sz w:val="24"/>
          <w:szCs w:val="24"/>
        </w:rPr>
        <w:lastRenderedPageBreak/>
        <w:t>outputs to align closely with the individual stylistic preferences of radiologists. By adapting to their specific feedback, the model learns to produce text that is not only stylistically consistent but also factually accurate, addressing a critical requirement in medical reporting.</w:t>
      </w:r>
    </w:p>
    <w:p w14:paraId="647E1814"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Additionally, the methodology employs a sophisticated instructional design in the tuning process. It integrates clinical data alongside imaging findings to enrich the context within which the model operates. This integration improves the relevance and factual accuracy of the impressions, making them more useful in clinical decision-making. Training prompts are carefully crafted to emulate real-world application scenarios, ensuring that the fine-tuning process optimally prepares the model for its intended operational environment.</w:t>
      </w:r>
    </w:p>
    <w:p w14:paraId="546EA8DB"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An encoder-decoder framework is utilized, combining traditional transformer models with graph neural networks. This setup enhances the model's capability to encode complex interdependencies among medical entities extracted from imaging findings, thus maintaining the factual integrity crucial for medical applications.</w:t>
      </w:r>
    </w:p>
    <w:p w14:paraId="3450C17C"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Evaluation extends beyond conventional NLP metrics like ROUGE and BLEU to include assessments of clinical utility and physician reviews. These evaluations are essential to ascertain the practical applicability of the impressions in medical settings. Rigorous bias and error analyses are conducted to ensure the model's outputs are reliable and unbiased, safeguarding against potential ethical issues in clinical implementations.</w:t>
      </w:r>
    </w:p>
    <w:p w14:paraId="191B896A" w14:textId="77777777" w:rsidR="00FD6A39" w:rsidRPr="00FD6A39" w:rsidRDefault="00FD6A39" w:rsidP="00214E7B">
      <w:pPr>
        <w:ind w:firstLine="720"/>
        <w:rPr>
          <w:rFonts w:ascii="Times New Roman" w:hAnsi="Times New Roman" w:cs="Times New Roman"/>
          <w:sz w:val="24"/>
          <w:szCs w:val="24"/>
        </w:rPr>
      </w:pPr>
      <w:r w:rsidRPr="00FD6A39">
        <w:rPr>
          <w:rFonts w:ascii="Times New Roman" w:hAnsi="Times New Roman" w:cs="Times New Roman"/>
          <w:sz w:val="24"/>
          <w:szCs w:val="24"/>
        </w:rPr>
        <w:t xml:space="preserve">The project documentation covers the computational resources and software frameworks used, adhering to ethical </w:t>
      </w:r>
      <w:proofErr w:type="gramStart"/>
      <w:r w:rsidRPr="00FD6A39">
        <w:rPr>
          <w:rFonts w:ascii="Times New Roman" w:hAnsi="Times New Roman" w:cs="Times New Roman"/>
          <w:sz w:val="24"/>
          <w:szCs w:val="24"/>
        </w:rPr>
        <w:t>standards</w:t>
      </w:r>
      <w:proofErr w:type="gramEnd"/>
      <w:r w:rsidRPr="00FD6A39">
        <w:rPr>
          <w:rFonts w:ascii="Times New Roman" w:hAnsi="Times New Roman" w:cs="Times New Roman"/>
          <w:sz w:val="24"/>
          <w:szCs w:val="24"/>
        </w:rPr>
        <w:t xml:space="preserve"> and ensuring data privacy in compliance with healthcare regulations. This detailed accounting supports the transparency and replicability of the research, contributing to its value as a reference for future endeavors in applying AI to healthcare.</w:t>
      </w:r>
    </w:p>
    <w:p w14:paraId="50737967" w14:textId="77777777" w:rsidR="00FD6A39" w:rsidRPr="00FD6A39" w:rsidRDefault="00FD6A39" w:rsidP="00FD6A39"/>
    <w:p w14:paraId="2BAF04DC" w14:textId="29C9C18B" w:rsidR="72AE07C6" w:rsidRDefault="72AE07C6" w:rsidP="5ED733AE"/>
    <w:p w14:paraId="3F587B92" w14:textId="1AAE1CD4" w:rsidR="72AE07C6" w:rsidRDefault="72AE07C6" w:rsidP="5ED733AE"/>
    <w:p w14:paraId="74DCCC9E" w14:textId="1151B848" w:rsidR="72AE07C6" w:rsidRDefault="72AE07C6" w:rsidP="5ED733AE"/>
    <w:p w14:paraId="6676001B" w14:textId="78046458" w:rsidR="72AE07C6" w:rsidRDefault="72AE07C6" w:rsidP="72AE07C6">
      <w:pPr>
        <w:rPr>
          <w:rFonts w:ascii="Times New Roman" w:eastAsia="Times New Roman" w:hAnsi="Times New Roman" w:cs="Times New Roman"/>
          <w:b/>
          <w:bCs/>
          <w:sz w:val="28"/>
          <w:szCs w:val="28"/>
        </w:rPr>
      </w:pPr>
    </w:p>
    <w:p w14:paraId="5466AA2F" w14:textId="63FA2C21" w:rsidR="72AE07C6" w:rsidRDefault="72AE07C6">
      <w:r>
        <w:br w:type="page"/>
      </w:r>
    </w:p>
    <w:p w14:paraId="73F5F9BB" w14:textId="51374A5D" w:rsidR="730BBAA0" w:rsidRDefault="00545699" w:rsidP="506104B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7</w:t>
      </w:r>
      <w:r w:rsidR="608D7E50" w:rsidRPr="72AE07C6">
        <w:rPr>
          <w:rFonts w:ascii="Times New Roman" w:eastAsia="Times New Roman" w:hAnsi="Times New Roman" w:cs="Times New Roman"/>
          <w:b/>
          <w:bCs/>
          <w:sz w:val="28"/>
          <w:szCs w:val="28"/>
        </w:rPr>
        <w:t xml:space="preserve"> </w:t>
      </w:r>
      <w:r w:rsidR="60E88B9F" w:rsidRPr="72AE07C6">
        <w:rPr>
          <w:rFonts w:ascii="Times New Roman" w:eastAsia="Times New Roman" w:hAnsi="Times New Roman" w:cs="Times New Roman"/>
          <w:b/>
          <w:bCs/>
          <w:sz w:val="28"/>
          <w:szCs w:val="28"/>
        </w:rPr>
        <w:t>Architecture</w:t>
      </w:r>
    </w:p>
    <w:p w14:paraId="28F9C35C" w14:textId="359A805C" w:rsidR="0CB902B4" w:rsidRDefault="00FD6A39" w:rsidP="00FD6A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3B27C3" wp14:editId="04B88FE3">
            <wp:extent cx="6487473" cy="2694103"/>
            <wp:effectExtent l="0" t="0" r="2540" b="0"/>
            <wp:docPr id="156408519"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8519" name="Picture 1" descr="A diagram of a medical procedur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548991" cy="2719650"/>
                    </a:xfrm>
                    <a:prstGeom prst="rect">
                      <a:avLst/>
                    </a:prstGeom>
                  </pic:spPr>
                </pic:pic>
              </a:graphicData>
            </a:graphic>
          </wp:inline>
        </w:drawing>
      </w:r>
    </w:p>
    <w:p w14:paraId="19A69CEC" w14:textId="5DBEB3EB" w:rsidR="696B04C5" w:rsidRDefault="696B04C5" w:rsidP="696B04C5"/>
    <w:p w14:paraId="2BF8D2B3" w14:textId="1DF2553E" w:rsidR="6E424F0D" w:rsidRDefault="014E80BF" w:rsidP="72AE07C6">
      <w:r>
        <w:rPr>
          <w:noProof/>
        </w:rPr>
        <w:drawing>
          <wp:inline distT="0" distB="0" distL="0" distR="0" wp14:anchorId="12624FB4" wp14:editId="322AF288">
            <wp:extent cx="6634162" cy="4040035"/>
            <wp:effectExtent l="0" t="0" r="0" b="0"/>
            <wp:docPr id="1586174746" name="Picture 158617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34162" cy="4040035"/>
                    </a:xfrm>
                    <a:prstGeom prst="rect">
                      <a:avLst/>
                    </a:prstGeom>
                  </pic:spPr>
                </pic:pic>
              </a:graphicData>
            </a:graphic>
          </wp:inline>
        </w:drawing>
      </w:r>
    </w:p>
    <w:p w14:paraId="0EBE04EE" w14:textId="0746BDEB" w:rsidR="72AE07C6" w:rsidRDefault="72AE07C6">
      <w:r>
        <w:br w:type="page"/>
      </w:r>
    </w:p>
    <w:p w14:paraId="4ADF39EA" w14:textId="29370B97" w:rsidR="331FA22B" w:rsidRDefault="331FA22B" w:rsidP="5ED733AE">
      <w:pPr>
        <w:pStyle w:val="Heading1"/>
        <w:jc w:val="center"/>
      </w:pPr>
      <w:bookmarkStart w:id="13" w:name="_Toc35235320"/>
      <w:r>
        <w:lastRenderedPageBreak/>
        <w:t>References</w:t>
      </w:r>
      <w:bookmarkEnd w:id="13"/>
    </w:p>
    <w:p w14:paraId="55BBFEDE" w14:textId="5BA11ACD" w:rsidR="3BE25D69" w:rsidRDefault="3BE25D69" w:rsidP="5ED733AE">
      <w:r w:rsidRPr="5ED733AE">
        <w:rPr>
          <w:rFonts w:ascii="Times New Roman" w:eastAsia="Times New Roman" w:hAnsi="Times New Roman" w:cs="Times New Roman"/>
          <w:color w:val="222222"/>
          <w:sz w:val="24"/>
          <w:szCs w:val="24"/>
        </w:rPr>
        <w:t xml:space="preserve"> </w:t>
      </w:r>
    </w:p>
    <w:p w14:paraId="6074B0D3" w14:textId="25F41E4A" w:rsidR="3BE25D69" w:rsidRDefault="3BE25D69" w:rsidP="5ED733AE">
      <w:r w:rsidRPr="5ED733AE">
        <w:rPr>
          <w:rFonts w:ascii="Times New Roman" w:eastAsia="Times New Roman" w:hAnsi="Times New Roman" w:cs="Times New Roman"/>
          <w:color w:val="222222"/>
          <w:sz w:val="24"/>
          <w:szCs w:val="24"/>
        </w:rPr>
        <w:t xml:space="preserve">1. </w:t>
      </w:r>
      <w:proofErr w:type="spellStart"/>
      <w:r w:rsidRPr="5ED733AE">
        <w:rPr>
          <w:rFonts w:ascii="Times New Roman" w:eastAsia="Times New Roman" w:hAnsi="Times New Roman" w:cs="Times New Roman"/>
          <w:color w:val="222222"/>
          <w:sz w:val="24"/>
          <w:szCs w:val="24"/>
        </w:rPr>
        <w:t>Shanafelt</w:t>
      </w:r>
      <w:proofErr w:type="spellEnd"/>
      <w:r w:rsidRPr="5ED733AE">
        <w:rPr>
          <w:rFonts w:ascii="Times New Roman" w:eastAsia="Times New Roman" w:hAnsi="Times New Roman" w:cs="Times New Roman"/>
          <w:color w:val="222222"/>
          <w:sz w:val="24"/>
          <w:szCs w:val="24"/>
        </w:rPr>
        <w:t xml:space="preserve">, T. D., Sloan, J. A., &amp; </w:t>
      </w:r>
      <w:proofErr w:type="spellStart"/>
      <w:r w:rsidRPr="5ED733AE">
        <w:rPr>
          <w:rFonts w:ascii="Times New Roman" w:eastAsia="Times New Roman" w:hAnsi="Times New Roman" w:cs="Times New Roman"/>
          <w:color w:val="222222"/>
          <w:sz w:val="24"/>
          <w:szCs w:val="24"/>
        </w:rPr>
        <w:t>Habermann</w:t>
      </w:r>
      <w:proofErr w:type="spellEnd"/>
      <w:r w:rsidRPr="5ED733AE">
        <w:rPr>
          <w:rFonts w:ascii="Times New Roman" w:eastAsia="Times New Roman" w:hAnsi="Times New Roman" w:cs="Times New Roman"/>
          <w:color w:val="222222"/>
          <w:sz w:val="24"/>
          <w:szCs w:val="24"/>
        </w:rPr>
        <w:t>, T. M. (2003). The well-being of physicians. *The American Journal of Medicine, 114*(6), 513-519.</w:t>
      </w:r>
    </w:p>
    <w:p w14:paraId="3C197E1F" w14:textId="0C2FA70D" w:rsidR="3BE25D69" w:rsidRDefault="3BE25D69" w:rsidP="5ED733AE">
      <w:r w:rsidRPr="5ED733AE">
        <w:rPr>
          <w:rFonts w:ascii="Times New Roman" w:eastAsia="Times New Roman" w:hAnsi="Times New Roman" w:cs="Times New Roman"/>
          <w:color w:val="222222"/>
          <w:sz w:val="24"/>
          <w:szCs w:val="24"/>
        </w:rPr>
        <w:t xml:space="preserve"> </w:t>
      </w:r>
    </w:p>
    <w:p w14:paraId="00FD5884" w14:textId="221A38A6" w:rsidR="3BE25D69" w:rsidRDefault="3BE25D69" w:rsidP="5ED733AE">
      <w:r w:rsidRPr="5ED733AE">
        <w:rPr>
          <w:rFonts w:ascii="Times New Roman" w:eastAsia="Times New Roman" w:hAnsi="Times New Roman" w:cs="Times New Roman"/>
          <w:color w:val="222222"/>
          <w:sz w:val="24"/>
          <w:szCs w:val="24"/>
        </w:rPr>
        <w:t xml:space="preserve">2. </w:t>
      </w:r>
      <w:proofErr w:type="spellStart"/>
      <w:r w:rsidRPr="5ED733AE">
        <w:rPr>
          <w:rFonts w:ascii="Times New Roman" w:eastAsia="Times New Roman" w:hAnsi="Times New Roman" w:cs="Times New Roman"/>
          <w:color w:val="222222"/>
          <w:sz w:val="24"/>
          <w:szCs w:val="24"/>
        </w:rPr>
        <w:t>蕭鳳兒</w:t>
      </w:r>
      <w:proofErr w:type="spellEnd"/>
      <w:r w:rsidRPr="5ED733AE">
        <w:rPr>
          <w:rFonts w:ascii="Times New Roman" w:eastAsia="Times New Roman" w:hAnsi="Times New Roman" w:cs="Times New Roman"/>
          <w:color w:val="222222"/>
          <w:sz w:val="24"/>
          <w:szCs w:val="24"/>
        </w:rPr>
        <w:t xml:space="preserve">, </w:t>
      </w:r>
      <w:proofErr w:type="spellStart"/>
      <w:r w:rsidRPr="5ED733AE">
        <w:rPr>
          <w:rFonts w:ascii="Times New Roman" w:eastAsia="Times New Roman" w:hAnsi="Times New Roman" w:cs="Times New Roman"/>
          <w:color w:val="222222"/>
          <w:sz w:val="24"/>
          <w:szCs w:val="24"/>
        </w:rPr>
        <w:t>袁仕傑</w:t>
      </w:r>
      <w:proofErr w:type="spellEnd"/>
      <w:r w:rsidRPr="5ED733AE">
        <w:rPr>
          <w:rFonts w:ascii="Times New Roman" w:eastAsia="Times New Roman" w:hAnsi="Times New Roman" w:cs="Times New Roman"/>
          <w:color w:val="222222"/>
          <w:sz w:val="24"/>
          <w:szCs w:val="24"/>
        </w:rPr>
        <w:t xml:space="preserve">, &amp; </w:t>
      </w:r>
      <w:proofErr w:type="spellStart"/>
      <w:r w:rsidRPr="5ED733AE">
        <w:rPr>
          <w:rFonts w:ascii="Times New Roman" w:eastAsia="Times New Roman" w:hAnsi="Times New Roman" w:cs="Times New Roman"/>
          <w:color w:val="222222"/>
          <w:sz w:val="24"/>
          <w:szCs w:val="24"/>
        </w:rPr>
        <w:t>張潔影</w:t>
      </w:r>
      <w:proofErr w:type="spellEnd"/>
      <w:r w:rsidRPr="5ED733AE">
        <w:rPr>
          <w:rFonts w:ascii="Times New Roman" w:eastAsia="Times New Roman" w:hAnsi="Times New Roman" w:cs="Times New Roman"/>
          <w:color w:val="222222"/>
          <w:sz w:val="24"/>
          <w:szCs w:val="24"/>
        </w:rPr>
        <w:t>. (2012). Burnout among public doctors in Hong Kong: Cross-sectional survey. *Hong Kong Medical Journal, 18*(3), 186-192.</w:t>
      </w:r>
    </w:p>
    <w:p w14:paraId="0ED41641" w14:textId="20BE307C" w:rsidR="3BE25D69" w:rsidRDefault="3BE25D69" w:rsidP="5ED733AE">
      <w:r w:rsidRPr="5ED733AE">
        <w:rPr>
          <w:rFonts w:ascii="Times New Roman" w:eastAsia="Times New Roman" w:hAnsi="Times New Roman" w:cs="Times New Roman"/>
          <w:color w:val="222222"/>
          <w:sz w:val="24"/>
          <w:szCs w:val="24"/>
        </w:rPr>
        <w:t xml:space="preserve"> </w:t>
      </w:r>
    </w:p>
    <w:p w14:paraId="70B3AC6D" w14:textId="628C1E3E" w:rsidR="3BE25D69" w:rsidRDefault="3BE25D69" w:rsidP="5ED733AE">
      <w:r w:rsidRPr="5ED733AE">
        <w:rPr>
          <w:rFonts w:ascii="Times New Roman" w:eastAsia="Times New Roman" w:hAnsi="Times New Roman" w:cs="Times New Roman"/>
          <w:color w:val="222222"/>
          <w:sz w:val="24"/>
          <w:szCs w:val="24"/>
        </w:rPr>
        <w:t xml:space="preserve">3. West, C. P., </w:t>
      </w:r>
      <w:proofErr w:type="spellStart"/>
      <w:r w:rsidRPr="5ED733AE">
        <w:rPr>
          <w:rFonts w:ascii="Times New Roman" w:eastAsia="Times New Roman" w:hAnsi="Times New Roman" w:cs="Times New Roman"/>
          <w:color w:val="222222"/>
          <w:sz w:val="24"/>
          <w:szCs w:val="24"/>
        </w:rPr>
        <w:t>Huschka</w:t>
      </w:r>
      <w:proofErr w:type="spellEnd"/>
      <w:r w:rsidRPr="5ED733AE">
        <w:rPr>
          <w:rFonts w:ascii="Times New Roman" w:eastAsia="Times New Roman" w:hAnsi="Times New Roman" w:cs="Times New Roman"/>
          <w:color w:val="222222"/>
          <w:sz w:val="24"/>
          <w:szCs w:val="24"/>
        </w:rPr>
        <w:t xml:space="preserve">, M. M., Novotny, P. J., Sloan, J. A., </w:t>
      </w:r>
      <w:proofErr w:type="spellStart"/>
      <w:r w:rsidRPr="5ED733AE">
        <w:rPr>
          <w:rFonts w:ascii="Times New Roman" w:eastAsia="Times New Roman" w:hAnsi="Times New Roman" w:cs="Times New Roman"/>
          <w:color w:val="222222"/>
          <w:sz w:val="24"/>
          <w:szCs w:val="24"/>
        </w:rPr>
        <w:t>Kolars</w:t>
      </w:r>
      <w:proofErr w:type="spellEnd"/>
      <w:r w:rsidRPr="5ED733AE">
        <w:rPr>
          <w:rFonts w:ascii="Times New Roman" w:eastAsia="Times New Roman" w:hAnsi="Times New Roman" w:cs="Times New Roman"/>
          <w:color w:val="222222"/>
          <w:sz w:val="24"/>
          <w:szCs w:val="24"/>
        </w:rPr>
        <w:t xml:space="preserve">, J. C., </w:t>
      </w:r>
      <w:proofErr w:type="spellStart"/>
      <w:r w:rsidRPr="5ED733AE">
        <w:rPr>
          <w:rFonts w:ascii="Times New Roman" w:eastAsia="Times New Roman" w:hAnsi="Times New Roman" w:cs="Times New Roman"/>
          <w:color w:val="222222"/>
          <w:sz w:val="24"/>
          <w:szCs w:val="24"/>
        </w:rPr>
        <w:t>Habermann</w:t>
      </w:r>
      <w:proofErr w:type="spellEnd"/>
      <w:r w:rsidRPr="5ED733AE">
        <w:rPr>
          <w:rFonts w:ascii="Times New Roman" w:eastAsia="Times New Roman" w:hAnsi="Times New Roman" w:cs="Times New Roman"/>
          <w:color w:val="222222"/>
          <w:sz w:val="24"/>
          <w:szCs w:val="24"/>
        </w:rPr>
        <w:t xml:space="preserve">, T. M., &amp; </w:t>
      </w:r>
      <w:proofErr w:type="spellStart"/>
      <w:r w:rsidRPr="5ED733AE">
        <w:rPr>
          <w:rFonts w:ascii="Times New Roman" w:eastAsia="Times New Roman" w:hAnsi="Times New Roman" w:cs="Times New Roman"/>
          <w:color w:val="222222"/>
          <w:sz w:val="24"/>
          <w:szCs w:val="24"/>
        </w:rPr>
        <w:t>Shanafelt</w:t>
      </w:r>
      <w:proofErr w:type="spellEnd"/>
      <w:r w:rsidRPr="5ED733AE">
        <w:rPr>
          <w:rFonts w:ascii="Times New Roman" w:eastAsia="Times New Roman" w:hAnsi="Times New Roman" w:cs="Times New Roman"/>
          <w:color w:val="222222"/>
          <w:sz w:val="24"/>
          <w:szCs w:val="24"/>
        </w:rPr>
        <w:t>, T. D. (2006). Association of perceived medical errors with resident distress and empathy: A prospective longitudinal study. *JAMA, 296*(9), 1071-1078.</w:t>
      </w:r>
    </w:p>
    <w:p w14:paraId="3C95CA0F" w14:textId="16FBE4D8" w:rsidR="3BE25D69" w:rsidRDefault="3BE25D69" w:rsidP="5ED733AE">
      <w:r w:rsidRPr="5ED733AE">
        <w:rPr>
          <w:rFonts w:ascii="Times New Roman" w:eastAsia="Times New Roman" w:hAnsi="Times New Roman" w:cs="Times New Roman"/>
          <w:color w:val="222222"/>
          <w:sz w:val="24"/>
          <w:szCs w:val="24"/>
        </w:rPr>
        <w:t xml:space="preserve"> </w:t>
      </w:r>
    </w:p>
    <w:p w14:paraId="710CBFE9" w14:textId="1F554E88" w:rsidR="3BE25D69" w:rsidRDefault="3BE25D69" w:rsidP="5ED733AE">
      <w:r w:rsidRPr="5ED733AE">
        <w:rPr>
          <w:rFonts w:ascii="Times New Roman" w:eastAsia="Times New Roman" w:hAnsi="Times New Roman" w:cs="Times New Roman"/>
          <w:color w:val="222222"/>
          <w:sz w:val="24"/>
          <w:szCs w:val="24"/>
        </w:rPr>
        <w:t xml:space="preserve">4. Williams, E. S., </w:t>
      </w:r>
      <w:proofErr w:type="spellStart"/>
      <w:r w:rsidRPr="5ED733AE">
        <w:rPr>
          <w:rFonts w:ascii="Times New Roman" w:eastAsia="Times New Roman" w:hAnsi="Times New Roman" w:cs="Times New Roman"/>
          <w:color w:val="222222"/>
          <w:sz w:val="24"/>
          <w:szCs w:val="24"/>
        </w:rPr>
        <w:t>Manwell</w:t>
      </w:r>
      <w:proofErr w:type="spellEnd"/>
      <w:r w:rsidRPr="5ED733AE">
        <w:rPr>
          <w:rFonts w:ascii="Times New Roman" w:eastAsia="Times New Roman" w:hAnsi="Times New Roman" w:cs="Times New Roman"/>
          <w:color w:val="222222"/>
          <w:sz w:val="24"/>
          <w:szCs w:val="24"/>
        </w:rPr>
        <w:t>, L. B., Konrad, T. R., &amp; Linzer, M. (2007). The relationship of organizational culture, stress, satisfaction, and burnout with physician-reported error and suboptimal patient care: Results from the MEMO study. *Health Care Management Review, 32*(3), 203-212.</w:t>
      </w:r>
    </w:p>
    <w:p w14:paraId="0C1C05FB" w14:textId="52B86069" w:rsidR="3BE25D69" w:rsidRDefault="3BE25D69" w:rsidP="5ED733AE">
      <w:r w:rsidRPr="5ED733AE">
        <w:rPr>
          <w:rFonts w:ascii="Times New Roman" w:eastAsia="Times New Roman" w:hAnsi="Times New Roman" w:cs="Times New Roman"/>
          <w:color w:val="222222"/>
          <w:sz w:val="24"/>
          <w:szCs w:val="24"/>
        </w:rPr>
        <w:t xml:space="preserve"> </w:t>
      </w:r>
    </w:p>
    <w:p w14:paraId="0A685B3F" w14:textId="189F63DF" w:rsidR="3BE25D69" w:rsidRDefault="3BE25D69" w:rsidP="5ED733AE">
      <w:r w:rsidRPr="5ED733AE">
        <w:rPr>
          <w:rFonts w:ascii="Times New Roman" w:eastAsia="Times New Roman" w:hAnsi="Times New Roman" w:cs="Times New Roman"/>
          <w:color w:val="222222"/>
          <w:sz w:val="24"/>
          <w:szCs w:val="24"/>
        </w:rPr>
        <w:t xml:space="preserve">5. </w:t>
      </w:r>
      <w:proofErr w:type="spellStart"/>
      <w:r w:rsidRPr="5ED733AE">
        <w:rPr>
          <w:rFonts w:ascii="Times New Roman" w:eastAsia="Times New Roman" w:hAnsi="Times New Roman" w:cs="Times New Roman"/>
          <w:color w:val="222222"/>
          <w:sz w:val="24"/>
          <w:szCs w:val="24"/>
        </w:rPr>
        <w:t>Ziegelmayer</w:t>
      </w:r>
      <w:proofErr w:type="spellEnd"/>
      <w:r w:rsidRPr="5ED733AE">
        <w:rPr>
          <w:rFonts w:ascii="Times New Roman" w:eastAsia="Times New Roman" w:hAnsi="Times New Roman" w:cs="Times New Roman"/>
          <w:color w:val="222222"/>
          <w:sz w:val="24"/>
          <w:szCs w:val="24"/>
        </w:rPr>
        <w:t xml:space="preserve">, S., </w:t>
      </w:r>
      <w:proofErr w:type="spellStart"/>
      <w:r w:rsidRPr="5ED733AE">
        <w:rPr>
          <w:rFonts w:ascii="Times New Roman" w:eastAsia="Times New Roman" w:hAnsi="Times New Roman" w:cs="Times New Roman"/>
          <w:color w:val="222222"/>
          <w:sz w:val="24"/>
          <w:szCs w:val="24"/>
        </w:rPr>
        <w:t>Marka</w:t>
      </w:r>
      <w:proofErr w:type="spellEnd"/>
      <w:r w:rsidRPr="5ED733AE">
        <w:rPr>
          <w:rFonts w:ascii="Times New Roman" w:eastAsia="Times New Roman" w:hAnsi="Times New Roman" w:cs="Times New Roman"/>
          <w:color w:val="222222"/>
          <w:sz w:val="24"/>
          <w:szCs w:val="24"/>
        </w:rPr>
        <w:t xml:space="preserve">, A. W., Lenhart, N., </w:t>
      </w:r>
      <w:proofErr w:type="spellStart"/>
      <w:r w:rsidRPr="5ED733AE">
        <w:rPr>
          <w:rFonts w:ascii="Times New Roman" w:eastAsia="Times New Roman" w:hAnsi="Times New Roman" w:cs="Times New Roman"/>
          <w:color w:val="222222"/>
          <w:sz w:val="24"/>
          <w:szCs w:val="24"/>
        </w:rPr>
        <w:t>Nehls</w:t>
      </w:r>
      <w:proofErr w:type="spellEnd"/>
      <w:r w:rsidRPr="5ED733AE">
        <w:rPr>
          <w:rFonts w:ascii="Times New Roman" w:eastAsia="Times New Roman" w:hAnsi="Times New Roman" w:cs="Times New Roman"/>
          <w:color w:val="222222"/>
          <w:sz w:val="24"/>
          <w:szCs w:val="24"/>
        </w:rPr>
        <w:t xml:space="preserve">, N., </w:t>
      </w:r>
      <w:proofErr w:type="spellStart"/>
      <w:r w:rsidRPr="5ED733AE">
        <w:rPr>
          <w:rFonts w:ascii="Times New Roman" w:eastAsia="Times New Roman" w:hAnsi="Times New Roman" w:cs="Times New Roman"/>
          <w:color w:val="222222"/>
          <w:sz w:val="24"/>
          <w:szCs w:val="24"/>
        </w:rPr>
        <w:t>Reischl</w:t>
      </w:r>
      <w:proofErr w:type="spellEnd"/>
      <w:r w:rsidRPr="5ED733AE">
        <w:rPr>
          <w:rFonts w:ascii="Times New Roman" w:eastAsia="Times New Roman" w:hAnsi="Times New Roman" w:cs="Times New Roman"/>
          <w:color w:val="222222"/>
          <w:sz w:val="24"/>
          <w:szCs w:val="24"/>
        </w:rPr>
        <w:t xml:space="preserve">, S., Harder, F., Sauter, A., Makowski, M., Graf, M., &amp; </w:t>
      </w:r>
      <w:proofErr w:type="spellStart"/>
      <w:r w:rsidRPr="5ED733AE">
        <w:rPr>
          <w:rFonts w:ascii="Times New Roman" w:eastAsia="Times New Roman" w:hAnsi="Times New Roman" w:cs="Times New Roman"/>
          <w:color w:val="222222"/>
          <w:sz w:val="24"/>
          <w:szCs w:val="24"/>
        </w:rPr>
        <w:t>Gawlitza</w:t>
      </w:r>
      <w:proofErr w:type="spellEnd"/>
      <w:r w:rsidRPr="5ED733AE">
        <w:rPr>
          <w:rFonts w:ascii="Times New Roman" w:eastAsia="Times New Roman" w:hAnsi="Times New Roman" w:cs="Times New Roman"/>
          <w:color w:val="222222"/>
          <w:sz w:val="24"/>
          <w:szCs w:val="24"/>
        </w:rPr>
        <w:t>, J. (2023). Evaluation of GPT-4’s chest X-ray impression generation: A reader study on performance and perception. *Journal of Medical Internet Research, 25*, e50865.</w:t>
      </w:r>
    </w:p>
    <w:p w14:paraId="7964B954" w14:textId="6415E312" w:rsidR="3BE25D69" w:rsidRDefault="3BE25D69" w:rsidP="5ED733AE">
      <w:r w:rsidRPr="5ED733AE">
        <w:rPr>
          <w:rFonts w:ascii="Times New Roman" w:eastAsia="Times New Roman" w:hAnsi="Times New Roman" w:cs="Times New Roman"/>
          <w:color w:val="222222"/>
          <w:sz w:val="24"/>
          <w:szCs w:val="24"/>
        </w:rPr>
        <w:t xml:space="preserve"> </w:t>
      </w:r>
    </w:p>
    <w:p w14:paraId="4C485596" w14:textId="1AFE8D2F" w:rsidR="3BE25D69" w:rsidRDefault="3BE25D69" w:rsidP="5ED733AE">
      <w:r w:rsidRPr="5ED733AE">
        <w:rPr>
          <w:rFonts w:ascii="Times New Roman" w:eastAsia="Times New Roman" w:hAnsi="Times New Roman" w:cs="Times New Roman"/>
          <w:color w:val="222222"/>
          <w:sz w:val="24"/>
          <w:szCs w:val="24"/>
        </w:rPr>
        <w:t>6. Sun, Z., Ong, H., Kennedy, P., Tang, L., Chen, S., Elias, J., Lucas, E., Shih, G., &amp; Peng, Y. (2023). Evaluating GPT-4 on impressions generation in radiology reports. *Radiology, 307*(5), e231259.</w:t>
      </w:r>
    </w:p>
    <w:p w14:paraId="32FE5A06" w14:textId="21A80BB2" w:rsidR="3BE25D69" w:rsidRDefault="3BE25D69" w:rsidP="5ED733AE">
      <w:r w:rsidRPr="5ED733AE">
        <w:rPr>
          <w:rFonts w:ascii="Times New Roman" w:eastAsia="Times New Roman" w:hAnsi="Times New Roman" w:cs="Times New Roman"/>
          <w:color w:val="222222"/>
          <w:sz w:val="24"/>
          <w:szCs w:val="24"/>
        </w:rPr>
        <w:t xml:space="preserve"> </w:t>
      </w:r>
    </w:p>
    <w:p w14:paraId="33BE0FC3" w14:textId="486A0B60" w:rsidR="3BE25D69" w:rsidRDefault="3BE25D69" w:rsidP="5ED733AE">
      <w:r w:rsidRPr="5ED733AE">
        <w:rPr>
          <w:rFonts w:ascii="Times New Roman" w:eastAsia="Times New Roman" w:hAnsi="Times New Roman" w:cs="Times New Roman"/>
          <w:color w:val="222222"/>
          <w:sz w:val="24"/>
          <w:szCs w:val="24"/>
        </w:rPr>
        <w:t xml:space="preserve">7. </w:t>
      </w:r>
      <w:proofErr w:type="spellStart"/>
      <w:r w:rsidRPr="5ED733AE">
        <w:rPr>
          <w:rFonts w:ascii="Times New Roman" w:eastAsia="Times New Roman" w:hAnsi="Times New Roman" w:cs="Times New Roman"/>
          <w:color w:val="222222"/>
          <w:sz w:val="24"/>
          <w:szCs w:val="24"/>
        </w:rPr>
        <w:t>Karn</w:t>
      </w:r>
      <w:proofErr w:type="spellEnd"/>
      <w:r w:rsidRPr="5ED733AE">
        <w:rPr>
          <w:rFonts w:ascii="Times New Roman" w:eastAsia="Times New Roman" w:hAnsi="Times New Roman" w:cs="Times New Roman"/>
          <w:color w:val="222222"/>
          <w:sz w:val="24"/>
          <w:szCs w:val="24"/>
        </w:rPr>
        <w:t xml:space="preserve">, S. K., Ghosh, R., &amp; </w:t>
      </w:r>
      <w:proofErr w:type="spellStart"/>
      <w:r w:rsidRPr="5ED733AE">
        <w:rPr>
          <w:rFonts w:ascii="Times New Roman" w:eastAsia="Times New Roman" w:hAnsi="Times New Roman" w:cs="Times New Roman"/>
          <w:color w:val="222222"/>
          <w:sz w:val="24"/>
          <w:szCs w:val="24"/>
        </w:rPr>
        <w:t>Farri</w:t>
      </w:r>
      <w:proofErr w:type="spellEnd"/>
      <w:r w:rsidRPr="5ED733AE">
        <w:rPr>
          <w:rFonts w:ascii="Times New Roman" w:eastAsia="Times New Roman" w:hAnsi="Times New Roman" w:cs="Times New Roman"/>
          <w:color w:val="222222"/>
          <w:sz w:val="24"/>
          <w:szCs w:val="24"/>
        </w:rPr>
        <w:t xml:space="preserve">, O. (2023). </w:t>
      </w:r>
      <w:proofErr w:type="spellStart"/>
      <w:r w:rsidRPr="5ED733AE">
        <w:rPr>
          <w:rFonts w:ascii="Times New Roman" w:eastAsia="Times New Roman" w:hAnsi="Times New Roman" w:cs="Times New Roman"/>
          <w:color w:val="222222"/>
          <w:sz w:val="24"/>
          <w:szCs w:val="24"/>
        </w:rPr>
        <w:t>shs-nlp</w:t>
      </w:r>
      <w:proofErr w:type="spellEnd"/>
      <w:r w:rsidRPr="5ED733AE">
        <w:rPr>
          <w:rFonts w:ascii="Times New Roman" w:eastAsia="Times New Roman" w:hAnsi="Times New Roman" w:cs="Times New Roman"/>
          <w:color w:val="222222"/>
          <w:sz w:val="24"/>
          <w:szCs w:val="24"/>
        </w:rPr>
        <w:t xml:space="preserve"> at radsum23: Domain-adaptive pre-training of instruction-tuned </w:t>
      </w:r>
      <w:proofErr w:type="spellStart"/>
      <w:r w:rsidRPr="5ED733AE">
        <w:rPr>
          <w:rFonts w:ascii="Times New Roman" w:eastAsia="Times New Roman" w:hAnsi="Times New Roman" w:cs="Times New Roman"/>
          <w:color w:val="222222"/>
          <w:sz w:val="24"/>
          <w:szCs w:val="24"/>
        </w:rPr>
        <w:t>llms</w:t>
      </w:r>
      <w:proofErr w:type="spellEnd"/>
      <w:r w:rsidRPr="5ED733AE">
        <w:rPr>
          <w:rFonts w:ascii="Times New Roman" w:eastAsia="Times New Roman" w:hAnsi="Times New Roman" w:cs="Times New Roman"/>
          <w:color w:val="222222"/>
          <w:sz w:val="24"/>
          <w:szCs w:val="24"/>
        </w:rPr>
        <w:t xml:space="preserve"> for radiology report impression generation.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 xml:space="preserve"> preprint arXiv:2306.03264*.</w:t>
      </w:r>
    </w:p>
    <w:p w14:paraId="335326CD" w14:textId="539FE6C1" w:rsidR="3BE25D69" w:rsidRDefault="3BE25D69" w:rsidP="5ED733AE">
      <w:r w:rsidRPr="5ED733AE">
        <w:rPr>
          <w:rFonts w:ascii="Times New Roman" w:eastAsia="Times New Roman" w:hAnsi="Times New Roman" w:cs="Times New Roman"/>
          <w:color w:val="222222"/>
          <w:sz w:val="24"/>
          <w:szCs w:val="24"/>
        </w:rPr>
        <w:t xml:space="preserve"> </w:t>
      </w:r>
    </w:p>
    <w:p w14:paraId="4BDE3DF8" w14:textId="4DCD841D" w:rsidR="3BE25D69" w:rsidRDefault="3BE25D69" w:rsidP="5ED733AE">
      <w:r w:rsidRPr="5ED733AE">
        <w:rPr>
          <w:rFonts w:ascii="Times New Roman" w:eastAsia="Times New Roman" w:hAnsi="Times New Roman" w:cs="Times New Roman"/>
          <w:color w:val="222222"/>
          <w:sz w:val="24"/>
          <w:szCs w:val="24"/>
        </w:rPr>
        <w:t xml:space="preserve">8. Tie, X., Shin, M., </w:t>
      </w:r>
      <w:proofErr w:type="spellStart"/>
      <w:r w:rsidRPr="5ED733AE">
        <w:rPr>
          <w:rFonts w:ascii="Times New Roman" w:eastAsia="Times New Roman" w:hAnsi="Times New Roman" w:cs="Times New Roman"/>
          <w:color w:val="222222"/>
          <w:sz w:val="24"/>
          <w:szCs w:val="24"/>
        </w:rPr>
        <w:t>Pirasteh</w:t>
      </w:r>
      <w:proofErr w:type="spellEnd"/>
      <w:r w:rsidRPr="5ED733AE">
        <w:rPr>
          <w:rFonts w:ascii="Times New Roman" w:eastAsia="Times New Roman" w:hAnsi="Times New Roman" w:cs="Times New Roman"/>
          <w:color w:val="222222"/>
          <w:sz w:val="24"/>
          <w:szCs w:val="24"/>
        </w:rPr>
        <w:t xml:space="preserve">, A., Ibrahim, N., </w:t>
      </w:r>
      <w:proofErr w:type="spellStart"/>
      <w:r w:rsidRPr="5ED733AE">
        <w:rPr>
          <w:rFonts w:ascii="Times New Roman" w:eastAsia="Times New Roman" w:hAnsi="Times New Roman" w:cs="Times New Roman"/>
          <w:color w:val="222222"/>
          <w:sz w:val="24"/>
          <w:szCs w:val="24"/>
        </w:rPr>
        <w:t>Huemann</w:t>
      </w:r>
      <w:proofErr w:type="spellEnd"/>
      <w:r w:rsidRPr="5ED733AE">
        <w:rPr>
          <w:rFonts w:ascii="Times New Roman" w:eastAsia="Times New Roman" w:hAnsi="Times New Roman" w:cs="Times New Roman"/>
          <w:color w:val="222222"/>
          <w:sz w:val="24"/>
          <w:szCs w:val="24"/>
        </w:rPr>
        <w:t xml:space="preserve">, Z., </w:t>
      </w:r>
      <w:proofErr w:type="spellStart"/>
      <w:r w:rsidRPr="5ED733AE">
        <w:rPr>
          <w:rFonts w:ascii="Times New Roman" w:eastAsia="Times New Roman" w:hAnsi="Times New Roman" w:cs="Times New Roman"/>
          <w:color w:val="222222"/>
          <w:sz w:val="24"/>
          <w:szCs w:val="24"/>
        </w:rPr>
        <w:t>Castellino</w:t>
      </w:r>
      <w:proofErr w:type="spellEnd"/>
      <w:r w:rsidRPr="5ED733AE">
        <w:rPr>
          <w:rFonts w:ascii="Times New Roman" w:eastAsia="Times New Roman" w:hAnsi="Times New Roman" w:cs="Times New Roman"/>
          <w:color w:val="222222"/>
          <w:sz w:val="24"/>
          <w:szCs w:val="24"/>
        </w:rPr>
        <w:t>, S. M., Kelly, K. M., &amp; et al. (2023). Automatic personalized impression generation for pet reports using large language models.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w:t>
      </w:r>
    </w:p>
    <w:p w14:paraId="074F999E" w14:textId="15424073" w:rsidR="3BE25D69" w:rsidRDefault="3BE25D69" w:rsidP="5ED733AE">
      <w:r w:rsidRPr="5ED733AE">
        <w:rPr>
          <w:rFonts w:ascii="Times New Roman" w:eastAsia="Times New Roman" w:hAnsi="Times New Roman" w:cs="Times New Roman"/>
          <w:color w:val="222222"/>
          <w:sz w:val="24"/>
          <w:szCs w:val="24"/>
        </w:rPr>
        <w:t xml:space="preserve"> </w:t>
      </w:r>
    </w:p>
    <w:p w14:paraId="479D7D63" w14:textId="72168A64" w:rsidR="3BE25D69" w:rsidRDefault="3BE25D69" w:rsidP="5ED733AE">
      <w:r w:rsidRPr="5ED733AE">
        <w:rPr>
          <w:rFonts w:ascii="Times New Roman" w:eastAsia="Times New Roman" w:hAnsi="Times New Roman" w:cs="Times New Roman"/>
          <w:color w:val="222222"/>
          <w:sz w:val="24"/>
          <w:szCs w:val="24"/>
        </w:rPr>
        <w:lastRenderedPageBreak/>
        <w:t>9. Liu, Z., Zhong, A., Li, Y., Yang, L., Ju, C., &amp; Wu, Z. (2023). Radiology-GPT: A large language model for radiology.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 xml:space="preserve"> [Preprint]*. </w:t>
      </w:r>
    </w:p>
    <w:p w14:paraId="77BD51A1" w14:textId="34CEEEEF" w:rsidR="3BE25D69" w:rsidRDefault="3BE25D69" w:rsidP="5ED733AE">
      <w:r w:rsidRPr="5ED733AE">
        <w:rPr>
          <w:rFonts w:ascii="Times New Roman" w:eastAsia="Times New Roman" w:hAnsi="Times New Roman" w:cs="Times New Roman"/>
          <w:color w:val="222222"/>
          <w:sz w:val="24"/>
          <w:szCs w:val="24"/>
        </w:rPr>
        <w:t xml:space="preserve"> </w:t>
      </w:r>
    </w:p>
    <w:p w14:paraId="2296176C" w14:textId="4E98300C" w:rsidR="3BE25D69" w:rsidRDefault="3BE25D69" w:rsidP="5ED733AE">
      <w:r w:rsidRPr="5ED733AE">
        <w:rPr>
          <w:rFonts w:ascii="Times New Roman" w:eastAsia="Times New Roman" w:hAnsi="Times New Roman" w:cs="Times New Roman"/>
          <w:color w:val="222222"/>
          <w:sz w:val="24"/>
          <w:szCs w:val="24"/>
        </w:rPr>
        <w:t xml:space="preserve">10. Zhang, Y., Merck, D., Tsai, E. B., Manning, C. D., &amp; </w:t>
      </w:r>
      <w:proofErr w:type="spellStart"/>
      <w:r w:rsidRPr="5ED733AE">
        <w:rPr>
          <w:rFonts w:ascii="Times New Roman" w:eastAsia="Times New Roman" w:hAnsi="Times New Roman" w:cs="Times New Roman"/>
          <w:color w:val="222222"/>
          <w:sz w:val="24"/>
          <w:szCs w:val="24"/>
        </w:rPr>
        <w:t>Langlotz</w:t>
      </w:r>
      <w:proofErr w:type="spellEnd"/>
      <w:r w:rsidRPr="5ED733AE">
        <w:rPr>
          <w:rFonts w:ascii="Times New Roman" w:eastAsia="Times New Roman" w:hAnsi="Times New Roman" w:cs="Times New Roman"/>
          <w:color w:val="222222"/>
          <w:sz w:val="24"/>
          <w:szCs w:val="24"/>
        </w:rPr>
        <w:t>, C. P. (2019). Optimizing the factual correctness of a summary: A study of summarizing radiology reports.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 xml:space="preserve"> preprint arXiv:1911.02541*.</w:t>
      </w:r>
    </w:p>
    <w:p w14:paraId="351AE5B8" w14:textId="319B2204" w:rsidR="3BE25D69" w:rsidRDefault="3BE25D69" w:rsidP="5ED733AE">
      <w:r w:rsidRPr="5ED733AE">
        <w:rPr>
          <w:rFonts w:ascii="Times New Roman" w:eastAsia="Times New Roman" w:hAnsi="Times New Roman" w:cs="Times New Roman"/>
          <w:color w:val="222222"/>
          <w:sz w:val="24"/>
          <w:szCs w:val="24"/>
        </w:rPr>
        <w:t xml:space="preserve"> </w:t>
      </w:r>
    </w:p>
    <w:p w14:paraId="4536BB2D" w14:textId="5628ED7E" w:rsidR="3BE25D69" w:rsidRDefault="3BE25D69" w:rsidP="5ED733AE">
      <w:r w:rsidRPr="5ED733AE">
        <w:rPr>
          <w:rFonts w:ascii="Times New Roman" w:eastAsia="Times New Roman" w:hAnsi="Times New Roman" w:cs="Times New Roman"/>
          <w:color w:val="222222"/>
          <w:sz w:val="24"/>
          <w:szCs w:val="24"/>
        </w:rPr>
        <w:t xml:space="preserve">11. Van Veen, D., Van </w:t>
      </w:r>
      <w:proofErr w:type="spellStart"/>
      <w:r w:rsidRPr="5ED733AE">
        <w:rPr>
          <w:rFonts w:ascii="Times New Roman" w:eastAsia="Times New Roman" w:hAnsi="Times New Roman" w:cs="Times New Roman"/>
          <w:color w:val="222222"/>
          <w:sz w:val="24"/>
          <w:szCs w:val="24"/>
        </w:rPr>
        <w:t>Uden</w:t>
      </w:r>
      <w:proofErr w:type="spellEnd"/>
      <w:r w:rsidRPr="5ED733AE">
        <w:rPr>
          <w:rFonts w:ascii="Times New Roman" w:eastAsia="Times New Roman" w:hAnsi="Times New Roman" w:cs="Times New Roman"/>
          <w:color w:val="222222"/>
          <w:sz w:val="24"/>
          <w:szCs w:val="24"/>
        </w:rPr>
        <w:t xml:space="preserve">, C., </w:t>
      </w:r>
      <w:proofErr w:type="spellStart"/>
      <w:r w:rsidRPr="5ED733AE">
        <w:rPr>
          <w:rFonts w:ascii="Times New Roman" w:eastAsia="Times New Roman" w:hAnsi="Times New Roman" w:cs="Times New Roman"/>
          <w:color w:val="222222"/>
          <w:sz w:val="24"/>
          <w:szCs w:val="24"/>
        </w:rPr>
        <w:t>Attias</w:t>
      </w:r>
      <w:proofErr w:type="spellEnd"/>
      <w:r w:rsidRPr="5ED733AE">
        <w:rPr>
          <w:rFonts w:ascii="Times New Roman" w:eastAsia="Times New Roman" w:hAnsi="Times New Roman" w:cs="Times New Roman"/>
          <w:color w:val="222222"/>
          <w:sz w:val="24"/>
          <w:szCs w:val="24"/>
        </w:rPr>
        <w:t xml:space="preserve">, M., Pareek, A., </w:t>
      </w:r>
      <w:proofErr w:type="spellStart"/>
      <w:r w:rsidRPr="5ED733AE">
        <w:rPr>
          <w:rFonts w:ascii="Times New Roman" w:eastAsia="Times New Roman" w:hAnsi="Times New Roman" w:cs="Times New Roman"/>
          <w:color w:val="222222"/>
          <w:sz w:val="24"/>
          <w:szCs w:val="24"/>
        </w:rPr>
        <w:t>Bluethgen</w:t>
      </w:r>
      <w:proofErr w:type="spellEnd"/>
      <w:r w:rsidRPr="5ED733AE">
        <w:rPr>
          <w:rFonts w:ascii="Times New Roman" w:eastAsia="Times New Roman" w:hAnsi="Times New Roman" w:cs="Times New Roman"/>
          <w:color w:val="222222"/>
          <w:sz w:val="24"/>
          <w:szCs w:val="24"/>
        </w:rPr>
        <w:t xml:space="preserve">, C., </w:t>
      </w:r>
      <w:proofErr w:type="spellStart"/>
      <w:r w:rsidRPr="5ED733AE">
        <w:rPr>
          <w:rFonts w:ascii="Times New Roman" w:eastAsia="Times New Roman" w:hAnsi="Times New Roman" w:cs="Times New Roman"/>
          <w:color w:val="222222"/>
          <w:sz w:val="24"/>
          <w:szCs w:val="24"/>
        </w:rPr>
        <w:t>Polacin</w:t>
      </w:r>
      <w:proofErr w:type="spellEnd"/>
      <w:r w:rsidRPr="5ED733AE">
        <w:rPr>
          <w:rFonts w:ascii="Times New Roman" w:eastAsia="Times New Roman" w:hAnsi="Times New Roman" w:cs="Times New Roman"/>
          <w:color w:val="222222"/>
          <w:sz w:val="24"/>
          <w:szCs w:val="24"/>
        </w:rPr>
        <w:t xml:space="preserve">, M., Chiu, W., &amp; et al. (2023). </w:t>
      </w:r>
      <w:proofErr w:type="spellStart"/>
      <w:r w:rsidRPr="5ED733AE">
        <w:rPr>
          <w:rFonts w:ascii="Times New Roman" w:eastAsia="Times New Roman" w:hAnsi="Times New Roman" w:cs="Times New Roman"/>
          <w:color w:val="222222"/>
          <w:sz w:val="24"/>
          <w:szCs w:val="24"/>
        </w:rPr>
        <w:t>RadAdapt</w:t>
      </w:r>
      <w:proofErr w:type="spellEnd"/>
      <w:r w:rsidRPr="5ED733AE">
        <w:rPr>
          <w:rFonts w:ascii="Times New Roman" w:eastAsia="Times New Roman" w:hAnsi="Times New Roman" w:cs="Times New Roman"/>
          <w:color w:val="222222"/>
          <w:sz w:val="24"/>
          <w:szCs w:val="24"/>
        </w:rPr>
        <w:t>: Radiology report summarization via lightweight domain adaptation of large language models.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 xml:space="preserve"> preprint arXiv:2305.01146*.</w:t>
      </w:r>
    </w:p>
    <w:p w14:paraId="723387A6" w14:textId="050487B4" w:rsidR="3BE25D69" w:rsidRDefault="3BE25D69" w:rsidP="5ED733AE">
      <w:r w:rsidRPr="5ED733AE">
        <w:rPr>
          <w:rFonts w:ascii="Times New Roman" w:eastAsia="Times New Roman" w:hAnsi="Times New Roman" w:cs="Times New Roman"/>
          <w:color w:val="222222"/>
          <w:sz w:val="24"/>
          <w:szCs w:val="24"/>
        </w:rPr>
        <w:t xml:space="preserve"> </w:t>
      </w:r>
    </w:p>
    <w:p w14:paraId="7BF0A70B" w14:textId="1EEAC4CD" w:rsidR="3BE25D69" w:rsidRDefault="3BE25D69" w:rsidP="5ED733AE">
      <w:r w:rsidRPr="5ED733AE">
        <w:rPr>
          <w:rFonts w:ascii="Times New Roman" w:eastAsia="Times New Roman" w:hAnsi="Times New Roman" w:cs="Times New Roman"/>
          <w:color w:val="222222"/>
          <w:sz w:val="24"/>
          <w:szCs w:val="24"/>
        </w:rPr>
        <w:t>12. Hu, J., Li, Z., Chen, Z., Li, Z., Wan, X., &amp; Chang, T.-H. (2022). Graph enhanced contrastive learning for radiology findings summarization. *</w:t>
      </w:r>
      <w:proofErr w:type="spellStart"/>
      <w:r w:rsidRPr="5ED733AE">
        <w:rPr>
          <w:rFonts w:ascii="Times New Roman" w:eastAsia="Times New Roman" w:hAnsi="Times New Roman" w:cs="Times New Roman"/>
          <w:color w:val="222222"/>
          <w:sz w:val="24"/>
          <w:szCs w:val="24"/>
        </w:rPr>
        <w:t>arXiv</w:t>
      </w:r>
      <w:proofErr w:type="spellEnd"/>
      <w:r w:rsidRPr="5ED733AE">
        <w:rPr>
          <w:rFonts w:ascii="Times New Roman" w:eastAsia="Times New Roman" w:hAnsi="Times New Roman" w:cs="Times New Roman"/>
          <w:color w:val="222222"/>
          <w:sz w:val="24"/>
          <w:szCs w:val="24"/>
        </w:rPr>
        <w:t xml:space="preserve"> preprint arXiv:2204.00203*.</w:t>
      </w:r>
    </w:p>
    <w:p w14:paraId="7F795BA7" w14:textId="3B25805F" w:rsidR="3BE25D69" w:rsidRDefault="3BE25D69" w:rsidP="5ED733AE">
      <w:r w:rsidRPr="5ED733AE">
        <w:rPr>
          <w:rFonts w:ascii="Times New Roman" w:eastAsia="Times New Roman" w:hAnsi="Times New Roman" w:cs="Times New Roman"/>
          <w:color w:val="222222"/>
          <w:sz w:val="24"/>
          <w:szCs w:val="24"/>
        </w:rPr>
        <w:t xml:space="preserve"> </w:t>
      </w:r>
    </w:p>
    <w:p w14:paraId="664488D6" w14:textId="4270D914" w:rsidR="3BE25D69" w:rsidRDefault="3BE25D69" w:rsidP="5ED733AE">
      <w:r w:rsidRPr="5ED733AE">
        <w:rPr>
          <w:rFonts w:ascii="Times New Roman" w:eastAsia="Times New Roman" w:hAnsi="Times New Roman" w:cs="Times New Roman"/>
          <w:color w:val="222222"/>
          <w:sz w:val="24"/>
          <w:szCs w:val="24"/>
        </w:rPr>
        <w:t xml:space="preserve">13. Wang, Z., Liu, L., Wang, L., &amp; Zhou, L. (2023). R2gengpt: Radiology report generation with frozen </w:t>
      </w:r>
      <w:proofErr w:type="spellStart"/>
      <w:r w:rsidRPr="5ED733AE">
        <w:rPr>
          <w:rFonts w:ascii="Times New Roman" w:eastAsia="Times New Roman" w:hAnsi="Times New Roman" w:cs="Times New Roman"/>
          <w:color w:val="222222"/>
          <w:sz w:val="24"/>
          <w:szCs w:val="24"/>
        </w:rPr>
        <w:t>llms</w:t>
      </w:r>
      <w:proofErr w:type="spellEnd"/>
      <w:r w:rsidRPr="5ED733AE">
        <w:rPr>
          <w:rFonts w:ascii="Times New Roman" w:eastAsia="Times New Roman" w:hAnsi="Times New Roman" w:cs="Times New Roman"/>
          <w:color w:val="222222"/>
          <w:sz w:val="24"/>
          <w:szCs w:val="24"/>
        </w:rPr>
        <w:t>. *Meta-Radiology, 1*(3), 100033.</w:t>
      </w:r>
    </w:p>
    <w:sectPr w:rsidR="3BE25D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leen Jung" w:date="2024-05-15T13:13:00Z" w:initials="CJ">
    <w:p w14:paraId="04849453" w14:textId="3E8FC7A9" w:rsidR="527FA528" w:rsidRDefault="527FA528">
      <w:r>
        <w:t>TA comment:</w:t>
      </w:r>
      <w:r>
        <w:annotationRef/>
      </w:r>
    </w:p>
    <w:p w14:paraId="7BC849A3" w14:textId="085BB596" w:rsidR="527FA528" w:rsidRDefault="527FA528">
      <w:r>
        <w:t xml:space="preserve">Please ensure that all team members make the same submission. Good job overall but this is a paper submission, so you must adhere to the following guidelines: </w:t>
      </w:r>
    </w:p>
    <w:p w14:paraId="77DA1111" w14:textId="27A5B823" w:rsidR="527FA528" w:rsidRDefault="527FA528">
      <w:r>
        <w:t xml:space="preserve">1. Title Page: Use the specified format from the guideline, including font, size, spacing, and no colored lines </w:t>
      </w:r>
    </w:p>
    <w:p w14:paraId="03B9EF20" w14:textId="57A715F1" w:rsidR="527FA528" w:rsidRDefault="527FA528">
      <w:r>
        <w:t xml:space="preserve">2. Table of Contents: List all sections with their corresponding page numbers. </w:t>
      </w:r>
    </w:p>
    <w:p w14:paraId="040314E1" w14:textId="719EF803" w:rsidR="527FA528" w:rsidRDefault="527FA528">
      <w:r>
        <w:t xml:space="preserve">3. Formatting: Ensure that paragraph start and end spacing, line spacing, and font match the guidelines </w:t>
      </w:r>
    </w:p>
    <w:p w14:paraId="16027324" w14:textId="07A27F44" w:rsidR="527FA528" w:rsidRDefault="527FA528">
      <w:r>
        <w:t>4. Visuals/Tables: Assign a name and number to each visual and table used in your document</w:t>
      </w:r>
    </w:p>
    <w:p w14:paraId="6D162F52" w14:textId="6009C82C" w:rsidR="527FA528" w:rsidRDefault="527FA528">
      <w:r w:rsidRPr="527FA528">
        <w:rPr>
          <w:b/>
          <w:bCs/>
        </w:rPr>
        <w:t>- Irem Pamuksuz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62F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07819A" w16cex:dateUtc="2024-05-15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62F52" w16cid:durableId="670781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DE40" w14:textId="77777777" w:rsidR="00D341C7" w:rsidRDefault="00D341C7">
      <w:pPr>
        <w:spacing w:after="0" w:line="240" w:lineRule="auto"/>
      </w:pPr>
      <w:r>
        <w:separator/>
      </w:r>
    </w:p>
  </w:endnote>
  <w:endnote w:type="continuationSeparator" w:id="0">
    <w:p w14:paraId="420EC761" w14:textId="77777777" w:rsidR="00D341C7" w:rsidRDefault="00D341C7">
      <w:pPr>
        <w:spacing w:after="0" w:line="240" w:lineRule="auto"/>
      </w:pPr>
      <w:r>
        <w:continuationSeparator/>
      </w:r>
    </w:p>
  </w:endnote>
  <w:endnote w:type="continuationNotice" w:id="1">
    <w:p w14:paraId="415FE7C9" w14:textId="77777777" w:rsidR="00D341C7" w:rsidRDefault="00D341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4BEA" w14:textId="77777777" w:rsidR="00D341C7" w:rsidRDefault="00D341C7">
      <w:pPr>
        <w:spacing w:after="0" w:line="240" w:lineRule="auto"/>
      </w:pPr>
      <w:r>
        <w:separator/>
      </w:r>
    </w:p>
  </w:footnote>
  <w:footnote w:type="continuationSeparator" w:id="0">
    <w:p w14:paraId="448742B1" w14:textId="77777777" w:rsidR="00D341C7" w:rsidRDefault="00D341C7">
      <w:pPr>
        <w:spacing w:after="0" w:line="240" w:lineRule="auto"/>
      </w:pPr>
      <w:r>
        <w:continuationSeparator/>
      </w:r>
    </w:p>
  </w:footnote>
  <w:footnote w:type="continuationNotice" w:id="1">
    <w:p w14:paraId="35E3A767" w14:textId="77777777" w:rsidR="00D341C7" w:rsidRDefault="00D341C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DkCdnSU2JarCG" int2:id="C86wuCxH">
      <int2:state int2:value="Rejected" int2:type="AugLoop_Text_Critique"/>
    </int2:textHash>
    <int2:bookmark int2:bookmarkName="_Int_fpBtgfoK" int2:invalidationBookmarkName="" int2:hashCode="3h35xaVCz+XV64" int2:id="BORg8Djh">
      <int2:state int2:value="Rejected" int2:type="AugLoop_Text_Critique"/>
    </int2:bookmark>
    <int2:bookmark int2:bookmarkName="_Int_Qfj4LlfF" int2:invalidationBookmarkName="" int2:hashCode="pUF8w+tAWoXbWx" int2:id="oH9EIHrH">
      <int2:state int2:value="Rejected" int2:type="AugLoop_Acronyms_AcronymsCritique"/>
    </int2:bookmark>
    <int2:bookmark int2:bookmarkName="_Int_WbCK31XX" int2:invalidationBookmarkName="" int2:hashCode="rcoSlDWPC1xmNl" int2:id="tfrqoox1">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8DBA5"/>
    <w:multiLevelType w:val="hybridMultilevel"/>
    <w:tmpl w:val="FFFFFFFF"/>
    <w:lvl w:ilvl="0" w:tplc="9BD4AD30">
      <w:start w:val="1"/>
      <w:numFmt w:val="bullet"/>
      <w:lvlText w:val=""/>
      <w:lvlJc w:val="left"/>
      <w:pPr>
        <w:ind w:left="720" w:hanging="360"/>
      </w:pPr>
      <w:rPr>
        <w:rFonts w:ascii="Wingdings" w:hAnsi="Wingdings" w:hint="default"/>
      </w:rPr>
    </w:lvl>
    <w:lvl w:ilvl="1" w:tplc="A93E21EA">
      <w:start w:val="1"/>
      <w:numFmt w:val="bullet"/>
      <w:lvlText w:val=""/>
      <w:lvlJc w:val="left"/>
      <w:pPr>
        <w:ind w:left="1440" w:hanging="360"/>
      </w:pPr>
      <w:rPr>
        <w:rFonts w:ascii="Wingdings" w:hAnsi="Wingdings" w:hint="default"/>
      </w:rPr>
    </w:lvl>
    <w:lvl w:ilvl="2" w:tplc="67F6C576">
      <w:start w:val="1"/>
      <w:numFmt w:val="bullet"/>
      <w:lvlText w:val=""/>
      <w:lvlJc w:val="left"/>
      <w:pPr>
        <w:ind w:left="2160" w:hanging="360"/>
      </w:pPr>
      <w:rPr>
        <w:rFonts w:ascii="Wingdings" w:hAnsi="Wingdings" w:hint="default"/>
      </w:rPr>
    </w:lvl>
    <w:lvl w:ilvl="3" w:tplc="CFFA20A4">
      <w:start w:val="1"/>
      <w:numFmt w:val="bullet"/>
      <w:lvlText w:val=""/>
      <w:lvlJc w:val="left"/>
      <w:pPr>
        <w:ind w:left="2880" w:hanging="360"/>
      </w:pPr>
      <w:rPr>
        <w:rFonts w:ascii="Wingdings" w:hAnsi="Wingdings" w:hint="default"/>
      </w:rPr>
    </w:lvl>
    <w:lvl w:ilvl="4" w:tplc="8D58DBB2">
      <w:start w:val="1"/>
      <w:numFmt w:val="bullet"/>
      <w:lvlText w:val=""/>
      <w:lvlJc w:val="left"/>
      <w:pPr>
        <w:ind w:left="3600" w:hanging="360"/>
      </w:pPr>
      <w:rPr>
        <w:rFonts w:ascii="Wingdings" w:hAnsi="Wingdings" w:hint="default"/>
      </w:rPr>
    </w:lvl>
    <w:lvl w:ilvl="5" w:tplc="D7D23A0A">
      <w:start w:val="1"/>
      <w:numFmt w:val="bullet"/>
      <w:lvlText w:val=""/>
      <w:lvlJc w:val="left"/>
      <w:pPr>
        <w:ind w:left="4320" w:hanging="360"/>
      </w:pPr>
      <w:rPr>
        <w:rFonts w:ascii="Wingdings" w:hAnsi="Wingdings" w:hint="default"/>
      </w:rPr>
    </w:lvl>
    <w:lvl w:ilvl="6" w:tplc="E696A1C0">
      <w:start w:val="1"/>
      <w:numFmt w:val="bullet"/>
      <w:lvlText w:val=""/>
      <w:lvlJc w:val="left"/>
      <w:pPr>
        <w:ind w:left="5040" w:hanging="360"/>
      </w:pPr>
      <w:rPr>
        <w:rFonts w:ascii="Wingdings" w:hAnsi="Wingdings" w:hint="default"/>
      </w:rPr>
    </w:lvl>
    <w:lvl w:ilvl="7" w:tplc="E64C9678">
      <w:start w:val="1"/>
      <w:numFmt w:val="bullet"/>
      <w:lvlText w:val=""/>
      <w:lvlJc w:val="left"/>
      <w:pPr>
        <w:ind w:left="5760" w:hanging="360"/>
      </w:pPr>
      <w:rPr>
        <w:rFonts w:ascii="Wingdings" w:hAnsi="Wingdings" w:hint="default"/>
      </w:rPr>
    </w:lvl>
    <w:lvl w:ilvl="8" w:tplc="08249B34">
      <w:start w:val="1"/>
      <w:numFmt w:val="bullet"/>
      <w:lvlText w:val=""/>
      <w:lvlJc w:val="left"/>
      <w:pPr>
        <w:ind w:left="6480" w:hanging="360"/>
      </w:pPr>
      <w:rPr>
        <w:rFonts w:ascii="Wingdings" w:hAnsi="Wingdings" w:hint="default"/>
      </w:rPr>
    </w:lvl>
  </w:abstractNum>
  <w:abstractNum w:abstractNumId="1" w15:restartNumberingAfterBreak="0">
    <w:nsid w:val="6284FC11"/>
    <w:multiLevelType w:val="hybridMultilevel"/>
    <w:tmpl w:val="5CE2E222"/>
    <w:lvl w:ilvl="0" w:tplc="E4AE9770">
      <w:start w:val="1"/>
      <w:numFmt w:val="decimal"/>
      <w:lvlText w:val="%1."/>
      <w:lvlJc w:val="left"/>
      <w:pPr>
        <w:ind w:left="720" w:hanging="360"/>
      </w:pPr>
    </w:lvl>
    <w:lvl w:ilvl="1" w:tplc="2B70D8AC">
      <w:start w:val="1"/>
      <w:numFmt w:val="lowerLetter"/>
      <w:lvlText w:val="%2."/>
      <w:lvlJc w:val="left"/>
      <w:pPr>
        <w:ind w:left="1440" w:hanging="360"/>
      </w:pPr>
    </w:lvl>
    <w:lvl w:ilvl="2" w:tplc="CDA85B48">
      <w:start w:val="1"/>
      <w:numFmt w:val="lowerRoman"/>
      <w:lvlText w:val="%3."/>
      <w:lvlJc w:val="right"/>
      <w:pPr>
        <w:ind w:left="2160" w:hanging="180"/>
      </w:pPr>
    </w:lvl>
    <w:lvl w:ilvl="3" w:tplc="4372BE84">
      <w:start w:val="1"/>
      <w:numFmt w:val="decimal"/>
      <w:lvlText w:val="%4."/>
      <w:lvlJc w:val="left"/>
      <w:pPr>
        <w:ind w:left="2880" w:hanging="360"/>
      </w:pPr>
    </w:lvl>
    <w:lvl w:ilvl="4" w:tplc="73FE770C">
      <w:start w:val="1"/>
      <w:numFmt w:val="lowerLetter"/>
      <w:lvlText w:val="%5."/>
      <w:lvlJc w:val="left"/>
      <w:pPr>
        <w:ind w:left="3600" w:hanging="360"/>
      </w:pPr>
    </w:lvl>
    <w:lvl w:ilvl="5" w:tplc="8DFECB36">
      <w:start w:val="1"/>
      <w:numFmt w:val="lowerRoman"/>
      <w:lvlText w:val="%6."/>
      <w:lvlJc w:val="right"/>
      <w:pPr>
        <w:ind w:left="4320" w:hanging="180"/>
      </w:pPr>
    </w:lvl>
    <w:lvl w:ilvl="6" w:tplc="574C5720">
      <w:start w:val="1"/>
      <w:numFmt w:val="decimal"/>
      <w:lvlText w:val="%7."/>
      <w:lvlJc w:val="left"/>
      <w:pPr>
        <w:ind w:left="5040" w:hanging="360"/>
      </w:pPr>
    </w:lvl>
    <w:lvl w:ilvl="7" w:tplc="DEE0E966">
      <w:start w:val="1"/>
      <w:numFmt w:val="lowerLetter"/>
      <w:lvlText w:val="%8."/>
      <w:lvlJc w:val="left"/>
      <w:pPr>
        <w:ind w:left="5760" w:hanging="360"/>
      </w:pPr>
    </w:lvl>
    <w:lvl w:ilvl="8" w:tplc="6CDEDC50">
      <w:start w:val="1"/>
      <w:numFmt w:val="lowerRoman"/>
      <w:lvlText w:val="%9."/>
      <w:lvlJc w:val="right"/>
      <w:pPr>
        <w:ind w:left="6480" w:hanging="180"/>
      </w:pPr>
    </w:lvl>
  </w:abstractNum>
  <w:abstractNum w:abstractNumId="2" w15:restartNumberingAfterBreak="0">
    <w:nsid w:val="719C305C"/>
    <w:multiLevelType w:val="multilevel"/>
    <w:tmpl w:val="D9FA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F1AC1"/>
    <w:multiLevelType w:val="multilevel"/>
    <w:tmpl w:val="3AB4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907410">
    <w:abstractNumId w:val="1"/>
  </w:num>
  <w:num w:numId="2" w16cid:durableId="1445879082">
    <w:abstractNumId w:val="0"/>
  </w:num>
  <w:num w:numId="3" w16cid:durableId="160119854">
    <w:abstractNumId w:val="3"/>
  </w:num>
  <w:num w:numId="4" w16cid:durableId="4663165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een Jung">
    <w15:presenceInfo w15:providerId="AD" w15:userId="S::shjung@uchicago.edu::f90f9ff9-8a8d-4aba-ae1b-c1dbb87dc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BB"/>
    <w:rsid w:val="000683C7"/>
    <w:rsid w:val="000E3B20"/>
    <w:rsid w:val="000E522D"/>
    <w:rsid w:val="001C026C"/>
    <w:rsid w:val="001D4227"/>
    <w:rsid w:val="00214E7B"/>
    <w:rsid w:val="0029533B"/>
    <w:rsid w:val="00299C99"/>
    <w:rsid w:val="002C1A43"/>
    <w:rsid w:val="00301991"/>
    <w:rsid w:val="00321D96"/>
    <w:rsid w:val="0039A8F0"/>
    <w:rsid w:val="003A18D3"/>
    <w:rsid w:val="00432926"/>
    <w:rsid w:val="0043FBEB"/>
    <w:rsid w:val="0044418A"/>
    <w:rsid w:val="00444550"/>
    <w:rsid w:val="004B1E99"/>
    <w:rsid w:val="0050098E"/>
    <w:rsid w:val="0053102F"/>
    <w:rsid w:val="00545699"/>
    <w:rsid w:val="0055201B"/>
    <w:rsid w:val="005AD5A4"/>
    <w:rsid w:val="005F5DC1"/>
    <w:rsid w:val="00691297"/>
    <w:rsid w:val="006A79F8"/>
    <w:rsid w:val="008939BB"/>
    <w:rsid w:val="009F1BA5"/>
    <w:rsid w:val="00B7CB6F"/>
    <w:rsid w:val="00BA508B"/>
    <w:rsid w:val="00C2F58D"/>
    <w:rsid w:val="00CD26DB"/>
    <w:rsid w:val="00CFA718"/>
    <w:rsid w:val="00D13912"/>
    <w:rsid w:val="00D341C7"/>
    <w:rsid w:val="00D779A1"/>
    <w:rsid w:val="00DA1E7F"/>
    <w:rsid w:val="00E81DDE"/>
    <w:rsid w:val="00FD6A39"/>
    <w:rsid w:val="00FE42F3"/>
    <w:rsid w:val="010A7727"/>
    <w:rsid w:val="011A94C1"/>
    <w:rsid w:val="01391528"/>
    <w:rsid w:val="013A9F8A"/>
    <w:rsid w:val="014E80BF"/>
    <w:rsid w:val="01547580"/>
    <w:rsid w:val="018B3AAF"/>
    <w:rsid w:val="01CC7EC2"/>
    <w:rsid w:val="01CF000A"/>
    <w:rsid w:val="01D43108"/>
    <w:rsid w:val="01F6CE09"/>
    <w:rsid w:val="024E8DBE"/>
    <w:rsid w:val="0272A393"/>
    <w:rsid w:val="027AC75B"/>
    <w:rsid w:val="027BF092"/>
    <w:rsid w:val="02CB6968"/>
    <w:rsid w:val="02D66FEB"/>
    <w:rsid w:val="02FB0584"/>
    <w:rsid w:val="0304366A"/>
    <w:rsid w:val="0360ADB1"/>
    <w:rsid w:val="0386189A"/>
    <w:rsid w:val="039250C0"/>
    <w:rsid w:val="03A58D65"/>
    <w:rsid w:val="03B08553"/>
    <w:rsid w:val="03B6FEFA"/>
    <w:rsid w:val="03C3579B"/>
    <w:rsid w:val="0485683D"/>
    <w:rsid w:val="04C6C702"/>
    <w:rsid w:val="04FE6F48"/>
    <w:rsid w:val="0521E8FB"/>
    <w:rsid w:val="0530D0F6"/>
    <w:rsid w:val="053EFC49"/>
    <w:rsid w:val="056FF39B"/>
    <w:rsid w:val="05897FA4"/>
    <w:rsid w:val="05B69F85"/>
    <w:rsid w:val="05F6BAA8"/>
    <w:rsid w:val="0626DDC5"/>
    <w:rsid w:val="06292624"/>
    <w:rsid w:val="0632B61A"/>
    <w:rsid w:val="06363B63"/>
    <w:rsid w:val="064457FF"/>
    <w:rsid w:val="065D8F9C"/>
    <w:rsid w:val="065EBA90"/>
    <w:rsid w:val="0675C54B"/>
    <w:rsid w:val="06777A87"/>
    <w:rsid w:val="0680A169"/>
    <w:rsid w:val="068A1319"/>
    <w:rsid w:val="069032FD"/>
    <w:rsid w:val="06A8D03E"/>
    <w:rsid w:val="06B9E45F"/>
    <w:rsid w:val="06BDB95C"/>
    <w:rsid w:val="07306F83"/>
    <w:rsid w:val="079A6CCB"/>
    <w:rsid w:val="07CBF8EC"/>
    <w:rsid w:val="07D12E53"/>
    <w:rsid w:val="07FE1341"/>
    <w:rsid w:val="085BD00C"/>
    <w:rsid w:val="087AD091"/>
    <w:rsid w:val="089DA401"/>
    <w:rsid w:val="08A7B077"/>
    <w:rsid w:val="096B9AF0"/>
    <w:rsid w:val="09EAD7D4"/>
    <w:rsid w:val="0A159CF3"/>
    <w:rsid w:val="0A1A3FE9"/>
    <w:rsid w:val="0A1ECAE6"/>
    <w:rsid w:val="0A74103D"/>
    <w:rsid w:val="0A918150"/>
    <w:rsid w:val="0B25E51B"/>
    <w:rsid w:val="0B29E6CF"/>
    <w:rsid w:val="0BCA95B1"/>
    <w:rsid w:val="0BDE4B62"/>
    <w:rsid w:val="0BF57004"/>
    <w:rsid w:val="0BFCDF73"/>
    <w:rsid w:val="0C37212E"/>
    <w:rsid w:val="0C4AF1CA"/>
    <w:rsid w:val="0C6545F0"/>
    <w:rsid w:val="0C772437"/>
    <w:rsid w:val="0C7EAC3A"/>
    <w:rsid w:val="0CB902B4"/>
    <w:rsid w:val="0CBEB214"/>
    <w:rsid w:val="0CBECFAD"/>
    <w:rsid w:val="0D2B5A6B"/>
    <w:rsid w:val="0D35F069"/>
    <w:rsid w:val="0D408AFE"/>
    <w:rsid w:val="0D666612"/>
    <w:rsid w:val="0D7965BD"/>
    <w:rsid w:val="0DD2F18F"/>
    <w:rsid w:val="0DD314D8"/>
    <w:rsid w:val="0E247104"/>
    <w:rsid w:val="0E400B6E"/>
    <w:rsid w:val="0E4070FA"/>
    <w:rsid w:val="0E4922C1"/>
    <w:rsid w:val="0E49F01F"/>
    <w:rsid w:val="0E593DE7"/>
    <w:rsid w:val="0E5AA00E"/>
    <w:rsid w:val="0E67649F"/>
    <w:rsid w:val="0E8502E3"/>
    <w:rsid w:val="0EC0826E"/>
    <w:rsid w:val="0EDA8563"/>
    <w:rsid w:val="0EFC21CD"/>
    <w:rsid w:val="0F5AE199"/>
    <w:rsid w:val="0F7B8691"/>
    <w:rsid w:val="0FD0086A"/>
    <w:rsid w:val="0FDC415B"/>
    <w:rsid w:val="0FEB4985"/>
    <w:rsid w:val="1048266D"/>
    <w:rsid w:val="10782BC0"/>
    <w:rsid w:val="10786929"/>
    <w:rsid w:val="109450D7"/>
    <w:rsid w:val="109B4479"/>
    <w:rsid w:val="109B82F9"/>
    <w:rsid w:val="10E46669"/>
    <w:rsid w:val="117D8D60"/>
    <w:rsid w:val="11922337"/>
    <w:rsid w:val="11BFF53E"/>
    <w:rsid w:val="11E6B69E"/>
    <w:rsid w:val="11F0E20C"/>
    <w:rsid w:val="120A7196"/>
    <w:rsid w:val="12388245"/>
    <w:rsid w:val="124BB9C3"/>
    <w:rsid w:val="1264B188"/>
    <w:rsid w:val="1280CC3E"/>
    <w:rsid w:val="128210DA"/>
    <w:rsid w:val="12B8D44B"/>
    <w:rsid w:val="12FE5C0A"/>
    <w:rsid w:val="1313719D"/>
    <w:rsid w:val="13214C18"/>
    <w:rsid w:val="1322EA47"/>
    <w:rsid w:val="13360A67"/>
    <w:rsid w:val="133E7843"/>
    <w:rsid w:val="13915284"/>
    <w:rsid w:val="139962BF"/>
    <w:rsid w:val="139A25A5"/>
    <w:rsid w:val="13BC6AC5"/>
    <w:rsid w:val="13C3E9A2"/>
    <w:rsid w:val="140081E9"/>
    <w:rsid w:val="141C072B"/>
    <w:rsid w:val="144DE51E"/>
    <w:rsid w:val="14870ED3"/>
    <w:rsid w:val="14B42664"/>
    <w:rsid w:val="15353320"/>
    <w:rsid w:val="15402B3C"/>
    <w:rsid w:val="154D4F6E"/>
    <w:rsid w:val="15838007"/>
    <w:rsid w:val="1596E2E2"/>
    <w:rsid w:val="159CF444"/>
    <w:rsid w:val="15AC4ED3"/>
    <w:rsid w:val="160093FC"/>
    <w:rsid w:val="16047566"/>
    <w:rsid w:val="1612A75B"/>
    <w:rsid w:val="161976E7"/>
    <w:rsid w:val="16263848"/>
    <w:rsid w:val="163F49EE"/>
    <w:rsid w:val="16524050"/>
    <w:rsid w:val="165279DB"/>
    <w:rsid w:val="165CB618"/>
    <w:rsid w:val="166AF5BD"/>
    <w:rsid w:val="167FC983"/>
    <w:rsid w:val="16AEBCD1"/>
    <w:rsid w:val="16D1983C"/>
    <w:rsid w:val="16F5CDC9"/>
    <w:rsid w:val="16FECF0D"/>
    <w:rsid w:val="17031135"/>
    <w:rsid w:val="172E23B2"/>
    <w:rsid w:val="1792DD9B"/>
    <w:rsid w:val="17AE77BC"/>
    <w:rsid w:val="17B5F165"/>
    <w:rsid w:val="17CEBA91"/>
    <w:rsid w:val="17DE010F"/>
    <w:rsid w:val="18124256"/>
    <w:rsid w:val="182FA6FC"/>
    <w:rsid w:val="189725FB"/>
    <w:rsid w:val="1935357A"/>
    <w:rsid w:val="1942BB58"/>
    <w:rsid w:val="194A481D"/>
    <w:rsid w:val="198DC491"/>
    <w:rsid w:val="199563B7"/>
    <w:rsid w:val="19CE9CBA"/>
    <w:rsid w:val="19D19E7B"/>
    <w:rsid w:val="1A32F65C"/>
    <w:rsid w:val="1A700F3D"/>
    <w:rsid w:val="1AB21AD9"/>
    <w:rsid w:val="1ABB8BB8"/>
    <w:rsid w:val="1B11045B"/>
    <w:rsid w:val="1B12BB11"/>
    <w:rsid w:val="1B1C71C6"/>
    <w:rsid w:val="1B3E35FC"/>
    <w:rsid w:val="1B5E3CCA"/>
    <w:rsid w:val="1B8B4C47"/>
    <w:rsid w:val="1BA74448"/>
    <w:rsid w:val="1BD74597"/>
    <w:rsid w:val="1BED55A7"/>
    <w:rsid w:val="1C3D154B"/>
    <w:rsid w:val="1C4B9954"/>
    <w:rsid w:val="1CA22BB4"/>
    <w:rsid w:val="1CC8411E"/>
    <w:rsid w:val="1D2B32A7"/>
    <w:rsid w:val="1D4217A6"/>
    <w:rsid w:val="1D4BFB43"/>
    <w:rsid w:val="1D6B7086"/>
    <w:rsid w:val="1D8E326B"/>
    <w:rsid w:val="1DC6ACB5"/>
    <w:rsid w:val="1DF102DF"/>
    <w:rsid w:val="1DF2DF2F"/>
    <w:rsid w:val="1E591995"/>
    <w:rsid w:val="1E90A4D8"/>
    <w:rsid w:val="1EA4EB5C"/>
    <w:rsid w:val="1EECC35D"/>
    <w:rsid w:val="1F84BF34"/>
    <w:rsid w:val="1F94A653"/>
    <w:rsid w:val="1FAF840F"/>
    <w:rsid w:val="1FCD03D7"/>
    <w:rsid w:val="1FFC22C6"/>
    <w:rsid w:val="20341DE3"/>
    <w:rsid w:val="2037605F"/>
    <w:rsid w:val="203D5A56"/>
    <w:rsid w:val="205F8050"/>
    <w:rsid w:val="20AAAADF"/>
    <w:rsid w:val="20F26318"/>
    <w:rsid w:val="210A9028"/>
    <w:rsid w:val="21759CD7"/>
    <w:rsid w:val="21815B7F"/>
    <w:rsid w:val="2181FC95"/>
    <w:rsid w:val="21AAEFBD"/>
    <w:rsid w:val="21B8048E"/>
    <w:rsid w:val="21F605D8"/>
    <w:rsid w:val="221A738B"/>
    <w:rsid w:val="2228CA4C"/>
    <w:rsid w:val="225C972B"/>
    <w:rsid w:val="22794B50"/>
    <w:rsid w:val="22CF8519"/>
    <w:rsid w:val="233C478B"/>
    <w:rsid w:val="23DA0920"/>
    <w:rsid w:val="23EAA8C2"/>
    <w:rsid w:val="23F60756"/>
    <w:rsid w:val="23FC5234"/>
    <w:rsid w:val="2411B1C2"/>
    <w:rsid w:val="244094EC"/>
    <w:rsid w:val="24604463"/>
    <w:rsid w:val="246BACDA"/>
    <w:rsid w:val="2481E70B"/>
    <w:rsid w:val="248CFAC4"/>
    <w:rsid w:val="24A3497C"/>
    <w:rsid w:val="24C698A5"/>
    <w:rsid w:val="251703DA"/>
    <w:rsid w:val="253E4077"/>
    <w:rsid w:val="256A089D"/>
    <w:rsid w:val="25CDA6C8"/>
    <w:rsid w:val="26B09B62"/>
    <w:rsid w:val="26BC377B"/>
    <w:rsid w:val="26BE1B3A"/>
    <w:rsid w:val="26D4DCAF"/>
    <w:rsid w:val="270C47F7"/>
    <w:rsid w:val="27281AC8"/>
    <w:rsid w:val="274AD5B7"/>
    <w:rsid w:val="27594D0F"/>
    <w:rsid w:val="2773D04D"/>
    <w:rsid w:val="27987755"/>
    <w:rsid w:val="27B6397F"/>
    <w:rsid w:val="280771FE"/>
    <w:rsid w:val="281B2A16"/>
    <w:rsid w:val="2829D43A"/>
    <w:rsid w:val="286B6807"/>
    <w:rsid w:val="28853F32"/>
    <w:rsid w:val="289A0268"/>
    <w:rsid w:val="28BB0D2F"/>
    <w:rsid w:val="28E93A67"/>
    <w:rsid w:val="292E430B"/>
    <w:rsid w:val="29336587"/>
    <w:rsid w:val="2980AEBC"/>
    <w:rsid w:val="2982F6CB"/>
    <w:rsid w:val="29905723"/>
    <w:rsid w:val="29A5197D"/>
    <w:rsid w:val="29AB890F"/>
    <w:rsid w:val="29ADB52E"/>
    <w:rsid w:val="29B2682A"/>
    <w:rsid w:val="29E179D8"/>
    <w:rsid w:val="29FA37C1"/>
    <w:rsid w:val="29FB769A"/>
    <w:rsid w:val="29FD66AC"/>
    <w:rsid w:val="2A630433"/>
    <w:rsid w:val="2A8DA4A4"/>
    <w:rsid w:val="2AABBE19"/>
    <w:rsid w:val="2AC47BA5"/>
    <w:rsid w:val="2AE16737"/>
    <w:rsid w:val="2AFC3C48"/>
    <w:rsid w:val="2B2F92D4"/>
    <w:rsid w:val="2B311E8B"/>
    <w:rsid w:val="2B4523C9"/>
    <w:rsid w:val="2B7A5B12"/>
    <w:rsid w:val="2B8A1E61"/>
    <w:rsid w:val="2BD5A804"/>
    <w:rsid w:val="2BD8EFB7"/>
    <w:rsid w:val="2BDFFF7B"/>
    <w:rsid w:val="2BF2B23A"/>
    <w:rsid w:val="2BFE10F6"/>
    <w:rsid w:val="2BFED494"/>
    <w:rsid w:val="2C037971"/>
    <w:rsid w:val="2C4147E9"/>
    <w:rsid w:val="2C7FA20F"/>
    <w:rsid w:val="2C9E7519"/>
    <w:rsid w:val="2CCCEEEC"/>
    <w:rsid w:val="2CD5ED87"/>
    <w:rsid w:val="2CE0F42A"/>
    <w:rsid w:val="2D058DDF"/>
    <w:rsid w:val="2D15A6EA"/>
    <w:rsid w:val="2D24C3DE"/>
    <w:rsid w:val="2D3C50EF"/>
    <w:rsid w:val="2D55AB01"/>
    <w:rsid w:val="2D61ABE3"/>
    <w:rsid w:val="2D939463"/>
    <w:rsid w:val="2DB48EB1"/>
    <w:rsid w:val="2E6139C5"/>
    <w:rsid w:val="2E868F2F"/>
    <w:rsid w:val="2EE17626"/>
    <w:rsid w:val="2EEFF9D8"/>
    <w:rsid w:val="2F21F1D6"/>
    <w:rsid w:val="2FA4698D"/>
    <w:rsid w:val="2FC295F7"/>
    <w:rsid w:val="2FCBA587"/>
    <w:rsid w:val="2FE3CC61"/>
    <w:rsid w:val="2FE50E24"/>
    <w:rsid w:val="302913F8"/>
    <w:rsid w:val="3087FDCC"/>
    <w:rsid w:val="30BA3939"/>
    <w:rsid w:val="30EBB45E"/>
    <w:rsid w:val="3131E889"/>
    <w:rsid w:val="314741B6"/>
    <w:rsid w:val="3165398D"/>
    <w:rsid w:val="316B3559"/>
    <w:rsid w:val="3178746B"/>
    <w:rsid w:val="318061C4"/>
    <w:rsid w:val="318F1E99"/>
    <w:rsid w:val="31BEB8FD"/>
    <w:rsid w:val="31F17C8D"/>
    <w:rsid w:val="31F4F755"/>
    <w:rsid w:val="322E8C2E"/>
    <w:rsid w:val="3244950C"/>
    <w:rsid w:val="32C6D3A7"/>
    <w:rsid w:val="32DF4995"/>
    <w:rsid w:val="32F6484F"/>
    <w:rsid w:val="331FA22B"/>
    <w:rsid w:val="332EEEDA"/>
    <w:rsid w:val="332F7E88"/>
    <w:rsid w:val="335C5C96"/>
    <w:rsid w:val="336661B2"/>
    <w:rsid w:val="33875FFF"/>
    <w:rsid w:val="338FE0F1"/>
    <w:rsid w:val="33DA60F5"/>
    <w:rsid w:val="33E04112"/>
    <w:rsid w:val="33E7253A"/>
    <w:rsid w:val="3447B54E"/>
    <w:rsid w:val="347059EF"/>
    <w:rsid w:val="34A80653"/>
    <w:rsid w:val="34F71896"/>
    <w:rsid w:val="34F82CF7"/>
    <w:rsid w:val="35285ACF"/>
    <w:rsid w:val="352E3A77"/>
    <w:rsid w:val="3541DEF2"/>
    <w:rsid w:val="35763156"/>
    <w:rsid w:val="35957F32"/>
    <w:rsid w:val="360C3D2F"/>
    <w:rsid w:val="364C71F1"/>
    <w:rsid w:val="3693FD58"/>
    <w:rsid w:val="36DC9937"/>
    <w:rsid w:val="36DD2D2D"/>
    <w:rsid w:val="36E2EF14"/>
    <w:rsid w:val="37A858E7"/>
    <w:rsid w:val="3806C1B6"/>
    <w:rsid w:val="382F3D0D"/>
    <w:rsid w:val="3843376D"/>
    <w:rsid w:val="3846EA6A"/>
    <w:rsid w:val="38C252D3"/>
    <w:rsid w:val="38CE26AB"/>
    <w:rsid w:val="38D3E4BB"/>
    <w:rsid w:val="38E4C495"/>
    <w:rsid w:val="38F5BD64"/>
    <w:rsid w:val="3909674F"/>
    <w:rsid w:val="3913FD73"/>
    <w:rsid w:val="399EC00C"/>
    <w:rsid w:val="39A77E2A"/>
    <w:rsid w:val="3A01AB9A"/>
    <w:rsid w:val="3A3A6D90"/>
    <w:rsid w:val="3AB7E842"/>
    <w:rsid w:val="3ABFC837"/>
    <w:rsid w:val="3ADE9C5C"/>
    <w:rsid w:val="3B19E1ED"/>
    <w:rsid w:val="3B485B8B"/>
    <w:rsid w:val="3B4B33F8"/>
    <w:rsid w:val="3B517DD3"/>
    <w:rsid w:val="3B70F446"/>
    <w:rsid w:val="3BDD99DC"/>
    <w:rsid w:val="3BE25D69"/>
    <w:rsid w:val="3BECFAA8"/>
    <w:rsid w:val="3BF6ED13"/>
    <w:rsid w:val="3C3679A4"/>
    <w:rsid w:val="3C428FAB"/>
    <w:rsid w:val="3C4E0C99"/>
    <w:rsid w:val="3C54D1AF"/>
    <w:rsid w:val="3C58A418"/>
    <w:rsid w:val="3C685C48"/>
    <w:rsid w:val="3CC9AE17"/>
    <w:rsid w:val="3D00BF61"/>
    <w:rsid w:val="3D30EE8E"/>
    <w:rsid w:val="3D330237"/>
    <w:rsid w:val="3D335BC2"/>
    <w:rsid w:val="3D89C7C4"/>
    <w:rsid w:val="3DFC248B"/>
    <w:rsid w:val="3E31EF1C"/>
    <w:rsid w:val="3E58A8C5"/>
    <w:rsid w:val="3E659E15"/>
    <w:rsid w:val="3E7CCE0A"/>
    <w:rsid w:val="3EA202A9"/>
    <w:rsid w:val="3EC27098"/>
    <w:rsid w:val="3EC8A841"/>
    <w:rsid w:val="3ECF2C23"/>
    <w:rsid w:val="3F2CA6DC"/>
    <w:rsid w:val="3F6D82EB"/>
    <w:rsid w:val="3F8D0B46"/>
    <w:rsid w:val="3F928C2E"/>
    <w:rsid w:val="3FA1B6D8"/>
    <w:rsid w:val="3FE8ECEB"/>
    <w:rsid w:val="3FF415D0"/>
    <w:rsid w:val="3FF9A7CD"/>
    <w:rsid w:val="4022BD18"/>
    <w:rsid w:val="40811820"/>
    <w:rsid w:val="408B5FAE"/>
    <w:rsid w:val="408FB852"/>
    <w:rsid w:val="40903B9E"/>
    <w:rsid w:val="409D98FE"/>
    <w:rsid w:val="40A3A07B"/>
    <w:rsid w:val="40C66E67"/>
    <w:rsid w:val="40CE7B9D"/>
    <w:rsid w:val="40D7496F"/>
    <w:rsid w:val="40FC7B8F"/>
    <w:rsid w:val="411BD3B2"/>
    <w:rsid w:val="41225CAC"/>
    <w:rsid w:val="4123424E"/>
    <w:rsid w:val="4151693E"/>
    <w:rsid w:val="418A9A26"/>
    <w:rsid w:val="419B5D35"/>
    <w:rsid w:val="41A7C989"/>
    <w:rsid w:val="41BCE5A8"/>
    <w:rsid w:val="41D33AD3"/>
    <w:rsid w:val="42006450"/>
    <w:rsid w:val="4202DD03"/>
    <w:rsid w:val="4224F3ED"/>
    <w:rsid w:val="423735F1"/>
    <w:rsid w:val="426591F5"/>
    <w:rsid w:val="429651DB"/>
    <w:rsid w:val="42A9F13E"/>
    <w:rsid w:val="42BB16A5"/>
    <w:rsid w:val="42E4E8B8"/>
    <w:rsid w:val="42F77E53"/>
    <w:rsid w:val="430CF4E3"/>
    <w:rsid w:val="432757BB"/>
    <w:rsid w:val="435A5DDA"/>
    <w:rsid w:val="43663815"/>
    <w:rsid w:val="43707CA5"/>
    <w:rsid w:val="4384B13A"/>
    <w:rsid w:val="43D128BA"/>
    <w:rsid w:val="43D2094F"/>
    <w:rsid w:val="43E080A7"/>
    <w:rsid w:val="442B4B77"/>
    <w:rsid w:val="444DB757"/>
    <w:rsid w:val="44791A7E"/>
    <w:rsid w:val="44970770"/>
    <w:rsid w:val="44ADE8FE"/>
    <w:rsid w:val="44F40098"/>
    <w:rsid w:val="4515F845"/>
    <w:rsid w:val="4526175D"/>
    <w:rsid w:val="453BCD59"/>
    <w:rsid w:val="4547CE55"/>
    <w:rsid w:val="456CC48E"/>
    <w:rsid w:val="4593DCEE"/>
    <w:rsid w:val="45968F89"/>
    <w:rsid w:val="45A899CB"/>
    <w:rsid w:val="45BB7D9B"/>
    <w:rsid w:val="45D98267"/>
    <w:rsid w:val="45E04DDA"/>
    <w:rsid w:val="45E5D931"/>
    <w:rsid w:val="45F3E7F2"/>
    <w:rsid w:val="45F4A211"/>
    <w:rsid w:val="464F582B"/>
    <w:rsid w:val="4662BFD1"/>
    <w:rsid w:val="46883EEC"/>
    <w:rsid w:val="46C115AB"/>
    <w:rsid w:val="46CEF667"/>
    <w:rsid w:val="47052C82"/>
    <w:rsid w:val="471B729B"/>
    <w:rsid w:val="47421032"/>
    <w:rsid w:val="474CCAAA"/>
    <w:rsid w:val="4757DDAA"/>
    <w:rsid w:val="477B60CB"/>
    <w:rsid w:val="4791884D"/>
    <w:rsid w:val="47CC5CDF"/>
    <w:rsid w:val="485D9039"/>
    <w:rsid w:val="488B7725"/>
    <w:rsid w:val="48F895FD"/>
    <w:rsid w:val="4918F56E"/>
    <w:rsid w:val="4938D8FC"/>
    <w:rsid w:val="49422161"/>
    <w:rsid w:val="494AACE7"/>
    <w:rsid w:val="494CEBE1"/>
    <w:rsid w:val="4953D3CC"/>
    <w:rsid w:val="49CBC1F1"/>
    <w:rsid w:val="49D5D5DD"/>
    <w:rsid w:val="4A061403"/>
    <w:rsid w:val="4A2F3F97"/>
    <w:rsid w:val="4A58179A"/>
    <w:rsid w:val="4A64746C"/>
    <w:rsid w:val="4AB44EFC"/>
    <w:rsid w:val="4AD26285"/>
    <w:rsid w:val="4AD61998"/>
    <w:rsid w:val="4AE8A91B"/>
    <w:rsid w:val="4AF4E219"/>
    <w:rsid w:val="4B4B2182"/>
    <w:rsid w:val="4B5BAB69"/>
    <w:rsid w:val="4B7C0FA9"/>
    <w:rsid w:val="4B7D37A5"/>
    <w:rsid w:val="4B9C6D9D"/>
    <w:rsid w:val="4BB4D52D"/>
    <w:rsid w:val="4BB59406"/>
    <w:rsid w:val="4BBB8D4B"/>
    <w:rsid w:val="4C1698A8"/>
    <w:rsid w:val="4C3C25A3"/>
    <w:rsid w:val="4CA88405"/>
    <w:rsid w:val="4CC37585"/>
    <w:rsid w:val="4D2422ED"/>
    <w:rsid w:val="4D289613"/>
    <w:rsid w:val="4D2963F5"/>
    <w:rsid w:val="4D3379A1"/>
    <w:rsid w:val="4D4C5E92"/>
    <w:rsid w:val="4D588C76"/>
    <w:rsid w:val="4D8D4104"/>
    <w:rsid w:val="4D9BE7E5"/>
    <w:rsid w:val="4DC71F2E"/>
    <w:rsid w:val="4DE38FB9"/>
    <w:rsid w:val="4E1B0671"/>
    <w:rsid w:val="4E1E1E73"/>
    <w:rsid w:val="4E2E1DBF"/>
    <w:rsid w:val="4E593B35"/>
    <w:rsid w:val="4E6489D5"/>
    <w:rsid w:val="4E713837"/>
    <w:rsid w:val="4E863EDB"/>
    <w:rsid w:val="4EC9642B"/>
    <w:rsid w:val="4EE846C3"/>
    <w:rsid w:val="4FA385F4"/>
    <w:rsid w:val="4FB1FBE5"/>
    <w:rsid w:val="4FB30BEC"/>
    <w:rsid w:val="4FBAD106"/>
    <w:rsid w:val="4FDC7635"/>
    <w:rsid w:val="4FECB266"/>
    <w:rsid w:val="4FF0DC30"/>
    <w:rsid w:val="50227291"/>
    <w:rsid w:val="502525C6"/>
    <w:rsid w:val="5025F9CE"/>
    <w:rsid w:val="502763AC"/>
    <w:rsid w:val="502C4401"/>
    <w:rsid w:val="503C6C41"/>
    <w:rsid w:val="50402774"/>
    <w:rsid w:val="50531439"/>
    <w:rsid w:val="505AFA30"/>
    <w:rsid w:val="506104B7"/>
    <w:rsid w:val="50899106"/>
    <w:rsid w:val="509159C8"/>
    <w:rsid w:val="50C7D70A"/>
    <w:rsid w:val="50D7465B"/>
    <w:rsid w:val="50DCE416"/>
    <w:rsid w:val="50E3A0F7"/>
    <w:rsid w:val="50F118A6"/>
    <w:rsid w:val="510B3596"/>
    <w:rsid w:val="512B9DFE"/>
    <w:rsid w:val="51855BF7"/>
    <w:rsid w:val="5190E922"/>
    <w:rsid w:val="51B17C70"/>
    <w:rsid w:val="51DD2BA4"/>
    <w:rsid w:val="51E8D6D5"/>
    <w:rsid w:val="52018E40"/>
    <w:rsid w:val="521EE431"/>
    <w:rsid w:val="524FB0BE"/>
    <w:rsid w:val="527FA528"/>
    <w:rsid w:val="5289498C"/>
    <w:rsid w:val="528F91A0"/>
    <w:rsid w:val="5291F30D"/>
    <w:rsid w:val="529A00A3"/>
    <w:rsid w:val="52C334FD"/>
    <w:rsid w:val="52C56AA4"/>
    <w:rsid w:val="52CA0E19"/>
    <w:rsid w:val="5306956A"/>
    <w:rsid w:val="53281B93"/>
    <w:rsid w:val="535F4B4F"/>
    <w:rsid w:val="536CFEDF"/>
    <w:rsid w:val="5374E39B"/>
    <w:rsid w:val="53922B20"/>
    <w:rsid w:val="53B2E563"/>
    <w:rsid w:val="53D2D358"/>
    <w:rsid w:val="53D470EA"/>
    <w:rsid w:val="53FCF580"/>
    <w:rsid w:val="541A6823"/>
    <w:rsid w:val="54337CC8"/>
    <w:rsid w:val="543660B2"/>
    <w:rsid w:val="54521CE2"/>
    <w:rsid w:val="5467F797"/>
    <w:rsid w:val="54683535"/>
    <w:rsid w:val="54C782B0"/>
    <w:rsid w:val="54EBC8B6"/>
    <w:rsid w:val="550E1A43"/>
    <w:rsid w:val="551DE756"/>
    <w:rsid w:val="557543C7"/>
    <w:rsid w:val="55806673"/>
    <w:rsid w:val="5583C0E7"/>
    <w:rsid w:val="558EDAF4"/>
    <w:rsid w:val="55A11F1A"/>
    <w:rsid w:val="55B9038E"/>
    <w:rsid w:val="55E2D49E"/>
    <w:rsid w:val="55EFF0E4"/>
    <w:rsid w:val="55F65F7B"/>
    <w:rsid w:val="55FAD5BF"/>
    <w:rsid w:val="560702B9"/>
    <w:rsid w:val="5622F8D0"/>
    <w:rsid w:val="566746B5"/>
    <w:rsid w:val="568B59FA"/>
    <w:rsid w:val="569D8A54"/>
    <w:rsid w:val="56A0030A"/>
    <w:rsid w:val="56A9832C"/>
    <w:rsid w:val="57469C01"/>
    <w:rsid w:val="574FAC69"/>
    <w:rsid w:val="5778B086"/>
    <w:rsid w:val="5785A57D"/>
    <w:rsid w:val="5796A620"/>
    <w:rsid w:val="57A1B21C"/>
    <w:rsid w:val="5821AD66"/>
    <w:rsid w:val="58A119F6"/>
    <w:rsid w:val="5909D1D5"/>
    <w:rsid w:val="59112FAD"/>
    <w:rsid w:val="5934AC28"/>
    <w:rsid w:val="59503A4B"/>
    <w:rsid w:val="595526DB"/>
    <w:rsid w:val="59748E46"/>
    <w:rsid w:val="59CE6859"/>
    <w:rsid w:val="5A0CA8D2"/>
    <w:rsid w:val="5A16C7BD"/>
    <w:rsid w:val="5A3D4A01"/>
    <w:rsid w:val="5A49CC07"/>
    <w:rsid w:val="5A6C3704"/>
    <w:rsid w:val="5AA5A236"/>
    <w:rsid w:val="5ABB67B1"/>
    <w:rsid w:val="5ABED06F"/>
    <w:rsid w:val="5AC01322"/>
    <w:rsid w:val="5AD07C89"/>
    <w:rsid w:val="5B1ED5DC"/>
    <w:rsid w:val="5B5ECB1D"/>
    <w:rsid w:val="5B7A7694"/>
    <w:rsid w:val="5B99D3EA"/>
    <w:rsid w:val="5BBC51F6"/>
    <w:rsid w:val="5C0F9DCA"/>
    <w:rsid w:val="5C4221A7"/>
    <w:rsid w:val="5C6A1743"/>
    <w:rsid w:val="5C8CB392"/>
    <w:rsid w:val="5CCF920D"/>
    <w:rsid w:val="5CE6E0E8"/>
    <w:rsid w:val="5CFA9B7E"/>
    <w:rsid w:val="5D15175B"/>
    <w:rsid w:val="5D397F71"/>
    <w:rsid w:val="5D40F457"/>
    <w:rsid w:val="5D7246A2"/>
    <w:rsid w:val="5DC3F745"/>
    <w:rsid w:val="5DD07A59"/>
    <w:rsid w:val="5EAB14EF"/>
    <w:rsid w:val="5ED733AE"/>
    <w:rsid w:val="5ED91DB9"/>
    <w:rsid w:val="5EDDCDE8"/>
    <w:rsid w:val="5EFCC751"/>
    <w:rsid w:val="5F10BB24"/>
    <w:rsid w:val="5F12F1C6"/>
    <w:rsid w:val="5F21A2D4"/>
    <w:rsid w:val="5F2D6229"/>
    <w:rsid w:val="5F434A76"/>
    <w:rsid w:val="5F6C4ABA"/>
    <w:rsid w:val="5F807131"/>
    <w:rsid w:val="5FA3EDAC"/>
    <w:rsid w:val="5FAF69F7"/>
    <w:rsid w:val="5FB530AA"/>
    <w:rsid w:val="5FF92ED0"/>
    <w:rsid w:val="6013AC51"/>
    <w:rsid w:val="60682307"/>
    <w:rsid w:val="608D7E50"/>
    <w:rsid w:val="60A2717E"/>
    <w:rsid w:val="60AB8F66"/>
    <w:rsid w:val="60AC8B85"/>
    <w:rsid w:val="60AEC227"/>
    <w:rsid w:val="60B73640"/>
    <w:rsid w:val="60DB7888"/>
    <w:rsid w:val="60E88B9F"/>
    <w:rsid w:val="60ECC65F"/>
    <w:rsid w:val="6114E3BA"/>
    <w:rsid w:val="611AB6E8"/>
    <w:rsid w:val="611EA9E3"/>
    <w:rsid w:val="612D74CB"/>
    <w:rsid w:val="613FBE0D"/>
    <w:rsid w:val="61480C8F"/>
    <w:rsid w:val="61633308"/>
    <w:rsid w:val="6209001D"/>
    <w:rsid w:val="6220FBDD"/>
    <w:rsid w:val="6237425E"/>
    <w:rsid w:val="627748E9"/>
    <w:rsid w:val="6285A37F"/>
    <w:rsid w:val="6298A5EB"/>
    <w:rsid w:val="62AA9F75"/>
    <w:rsid w:val="62EC8627"/>
    <w:rsid w:val="631F5B1E"/>
    <w:rsid w:val="632BC407"/>
    <w:rsid w:val="634197F7"/>
    <w:rsid w:val="634A83D4"/>
    <w:rsid w:val="63D5B33A"/>
    <w:rsid w:val="64103FA5"/>
    <w:rsid w:val="644C847C"/>
    <w:rsid w:val="64F56835"/>
    <w:rsid w:val="6503B50F"/>
    <w:rsid w:val="653A90AD"/>
    <w:rsid w:val="653B3420"/>
    <w:rsid w:val="653BD91C"/>
    <w:rsid w:val="65497562"/>
    <w:rsid w:val="656EE320"/>
    <w:rsid w:val="65E59282"/>
    <w:rsid w:val="662C2774"/>
    <w:rsid w:val="6650952B"/>
    <w:rsid w:val="6695AC4C"/>
    <w:rsid w:val="66C25FC5"/>
    <w:rsid w:val="66FA7727"/>
    <w:rsid w:val="6701FAD6"/>
    <w:rsid w:val="671DC720"/>
    <w:rsid w:val="6720B321"/>
    <w:rsid w:val="6776EE8B"/>
    <w:rsid w:val="677E1098"/>
    <w:rsid w:val="67989834"/>
    <w:rsid w:val="679CB64F"/>
    <w:rsid w:val="67E16F82"/>
    <w:rsid w:val="6821BE63"/>
    <w:rsid w:val="683708F6"/>
    <w:rsid w:val="687A7FC7"/>
    <w:rsid w:val="689F1CF2"/>
    <w:rsid w:val="68B5E1D7"/>
    <w:rsid w:val="68F91617"/>
    <w:rsid w:val="6912E947"/>
    <w:rsid w:val="696B04C5"/>
    <w:rsid w:val="697A23A0"/>
    <w:rsid w:val="69EDC796"/>
    <w:rsid w:val="69FA0087"/>
    <w:rsid w:val="6A13B892"/>
    <w:rsid w:val="6ABCEA2C"/>
    <w:rsid w:val="6AC323D8"/>
    <w:rsid w:val="6B0ECE0D"/>
    <w:rsid w:val="6B0F7BE8"/>
    <w:rsid w:val="6B1AD2D4"/>
    <w:rsid w:val="6B2AFAFA"/>
    <w:rsid w:val="6B346ADA"/>
    <w:rsid w:val="6B61C3E4"/>
    <w:rsid w:val="6B687BF1"/>
    <w:rsid w:val="6B823598"/>
    <w:rsid w:val="6B8FF8A0"/>
    <w:rsid w:val="6BB6813F"/>
    <w:rsid w:val="6BD668E7"/>
    <w:rsid w:val="6C069114"/>
    <w:rsid w:val="6C64328D"/>
    <w:rsid w:val="6CB77800"/>
    <w:rsid w:val="6CDC54B4"/>
    <w:rsid w:val="6CF04F33"/>
    <w:rsid w:val="6D31A149"/>
    <w:rsid w:val="6D36D600"/>
    <w:rsid w:val="6DA438E2"/>
    <w:rsid w:val="6DAA2E27"/>
    <w:rsid w:val="6DBBBE19"/>
    <w:rsid w:val="6DEEA191"/>
    <w:rsid w:val="6E424F0D"/>
    <w:rsid w:val="6E9F218C"/>
    <w:rsid w:val="6EA8105C"/>
    <w:rsid w:val="6EC138B9"/>
    <w:rsid w:val="6ECE0158"/>
    <w:rsid w:val="6EF8DBAB"/>
    <w:rsid w:val="6F18CFEE"/>
    <w:rsid w:val="6F444BFF"/>
    <w:rsid w:val="6F6239A1"/>
    <w:rsid w:val="6FA840EE"/>
    <w:rsid w:val="6FCF8C9E"/>
    <w:rsid w:val="6FD5D4CE"/>
    <w:rsid w:val="6FF3D6B9"/>
    <w:rsid w:val="70217272"/>
    <w:rsid w:val="705E8B5B"/>
    <w:rsid w:val="7067CF0F"/>
    <w:rsid w:val="707476BD"/>
    <w:rsid w:val="708591AC"/>
    <w:rsid w:val="70F43644"/>
    <w:rsid w:val="710D19F6"/>
    <w:rsid w:val="71677A9C"/>
    <w:rsid w:val="71F8D97B"/>
    <w:rsid w:val="720B46E3"/>
    <w:rsid w:val="7221620D"/>
    <w:rsid w:val="722D3CBF"/>
    <w:rsid w:val="723E805C"/>
    <w:rsid w:val="72614180"/>
    <w:rsid w:val="72736938"/>
    <w:rsid w:val="729B71CE"/>
    <w:rsid w:val="72A964C0"/>
    <w:rsid w:val="72AE07C6"/>
    <w:rsid w:val="72C3AF72"/>
    <w:rsid w:val="72F79B5A"/>
    <w:rsid w:val="7308173B"/>
    <w:rsid w:val="730BBAA0"/>
    <w:rsid w:val="73782818"/>
    <w:rsid w:val="7386AA58"/>
    <w:rsid w:val="73A86AC7"/>
    <w:rsid w:val="73F51CCC"/>
    <w:rsid w:val="74774A3A"/>
    <w:rsid w:val="74A20FBB"/>
    <w:rsid w:val="74DE2241"/>
    <w:rsid w:val="757D0B0B"/>
    <w:rsid w:val="757F459A"/>
    <w:rsid w:val="758CF470"/>
    <w:rsid w:val="75B34596"/>
    <w:rsid w:val="75BBA7AA"/>
    <w:rsid w:val="7612173A"/>
    <w:rsid w:val="761F00B4"/>
    <w:rsid w:val="763D7B75"/>
    <w:rsid w:val="7696F792"/>
    <w:rsid w:val="76CF9347"/>
    <w:rsid w:val="76F1A44E"/>
    <w:rsid w:val="76F6D715"/>
    <w:rsid w:val="76F8A7EB"/>
    <w:rsid w:val="770CD097"/>
    <w:rsid w:val="774F15F7"/>
    <w:rsid w:val="7770A674"/>
    <w:rsid w:val="77A62AB8"/>
    <w:rsid w:val="77B2584A"/>
    <w:rsid w:val="783B786C"/>
    <w:rsid w:val="78643DDA"/>
    <w:rsid w:val="786E1657"/>
    <w:rsid w:val="7871DD47"/>
    <w:rsid w:val="787DAC24"/>
    <w:rsid w:val="78998956"/>
    <w:rsid w:val="789E0C18"/>
    <w:rsid w:val="78D4B29B"/>
    <w:rsid w:val="78DDE2E0"/>
    <w:rsid w:val="78E6FB7D"/>
    <w:rsid w:val="7918338F"/>
    <w:rsid w:val="79186944"/>
    <w:rsid w:val="792F8DA4"/>
    <w:rsid w:val="793B4494"/>
    <w:rsid w:val="7942B595"/>
    <w:rsid w:val="7981D986"/>
    <w:rsid w:val="79CC3514"/>
    <w:rsid w:val="7A0DFE50"/>
    <w:rsid w:val="7A544DA9"/>
    <w:rsid w:val="7A5CCEE8"/>
    <w:rsid w:val="7AA0FAC7"/>
    <w:rsid w:val="7AA582C6"/>
    <w:rsid w:val="7AF52353"/>
    <w:rsid w:val="7B2812E4"/>
    <w:rsid w:val="7B9D4C31"/>
    <w:rsid w:val="7BA8D66C"/>
    <w:rsid w:val="7BAC8460"/>
    <w:rsid w:val="7BDE8F50"/>
    <w:rsid w:val="7C0C535D"/>
    <w:rsid w:val="7C17E422"/>
    <w:rsid w:val="7C5A8202"/>
    <w:rsid w:val="7C672E66"/>
    <w:rsid w:val="7C6837EE"/>
    <w:rsid w:val="7CCEE304"/>
    <w:rsid w:val="7D19A4B6"/>
    <w:rsid w:val="7D3195AD"/>
    <w:rsid w:val="7D4FB299"/>
    <w:rsid w:val="7D7B1C9A"/>
    <w:rsid w:val="7D99194E"/>
    <w:rsid w:val="7DBE5F17"/>
    <w:rsid w:val="7DC364AD"/>
    <w:rsid w:val="7E0D0B3D"/>
    <w:rsid w:val="7E2F4F15"/>
    <w:rsid w:val="7E47910F"/>
    <w:rsid w:val="7EA4A7D4"/>
    <w:rsid w:val="7EAD0AA6"/>
    <w:rsid w:val="7EB986B5"/>
    <w:rsid w:val="7ED50511"/>
    <w:rsid w:val="7F2DCEC9"/>
    <w:rsid w:val="7F71C682"/>
    <w:rsid w:val="7FA8DB9E"/>
    <w:rsid w:val="7FB9E49F"/>
    <w:rsid w:val="7FC324A9"/>
    <w:rsid w:val="7FF1D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63123"/>
  <w15:chartTrackingRefBased/>
  <w15:docId w15:val="{E1CE65D6-4DA3-4207-BAD6-8F07ED48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5644">
      <w:bodyDiv w:val="1"/>
      <w:marLeft w:val="0"/>
      <w:marRight w:val="0"/>
      <w:marTop w:val="0"/>
      <w:marBottom w:val="0"/>
      <w:divBdr>
        <w:top w:val="none" w:sz="0" w:space="0" w:color="auto"/>
        <w:left w:val="none" w:sz="0" w:space="0" w:color="auto"/>
        <w:bottom w:val="none" w:sz="0" w:space="0" w:color="auto"/>
        <w:right w:val="none" w:sz="0" w:space="0" w:color="auto"/>
      </w:divBdr>
    </w:div>
    <w:div w:id="965695562">
      <w:bodyDiv w:val="1"/>
      <w:marLeft w:val="0"/>
      <w:marRight w:val="0"/>
      <w:marTop w:val="0"/>
      <w:marBottom w:val="0"/>
      <w:divBdr>
        <w:top w:val="none" w:sz="0" w:space="0" w:color="auto"/>
        <w:left w:val="none" w:sz="0" w:space="0" w:color="auto"/>
        <w:bottom w:val="none" w:sz="0" w:space="0" w:color="auto"/>
        <w:right w:val="none" w:sz="0" w:space="0" w:color="auto"/>
      </w:divBdr>
    </w:div>
    <w:div w:id="1600024103">
      <w:bodyDiv w:val="1"/>
      <w:marLeft w:val="0"/>
      <w:marRight w:val="0"/>
      <w:marTop w:val="0"/>
      <w:marBottom w:val="0"/>
      <w:divBdr>
        <w:top w:val="none" w:sz="0" w:space="0" w:color="auto"/>
        <w:left w:val="none" w:sz="0" w:space="0" w:color="auto"/>
        <w:bottom w:val="none" w:sz="0" w:space="0" w:color="auto"/>
        <w:right w:val="none" w:sz="0" w:space="0" w:color="auto"/>
      </w:divBdr>
    </w:div>
    <w:div w:id="1655525042">
      <w:bodyDiv w:val="1"/>
      <w:marLeft w:val="0"/>
      <w:marRight w:val="0"/>
      <w:marTop w:val="0"/>
      <w:marBottom w:val="0"/>
      <w:divBdr>
        <w:top w:val="none" w:sz="0" w:space="0" w:color="auto"/>
        <w:left w:val="none" w:sz="0" w:space="0" w:color="auto"/>
        <w:bottom w:val="none" w:sz="0" w:space="0" w:color="auto"/>
        <w:right w:val="none" w:sz="0" w:space="0" w:color="auto"/>
      </w:divBdr>
    </w:div>
    <w:div w:id="17172012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pubs.rsna.org/doi/full/10.1148/radiol.231259?casa_token=wTOB7S50Is8AAAAA:3tWXWmeWdOC6Wxm6pKfCgLL0iaqkop54Xzzm1zzcos3HZY1xd2GABfIx6WSxfwKFzBEJxIVg"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arxiv.org/abs/2309.10066"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jmir.org/2023/1/e50865/" TargetMode="External"/><Relationship Id="rId25"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journals.lww.com/hcmrjournal/fulltext/2007/07000/The_relationship_of_organizational_culture,.00003.aspx?casa_token=XGYVMRqX3o0AAAAA:LxL0SQFQKwWfuaeCguH1y3ovHmYCq12hHNttpwMXwF_qNubl1H__utMrvf_IT_4ixvrKVJQNeSyhq_ahpakDRg" TargetMode="External"/><Relationship Id="rId20" Type="http://schemas.openxmlformats.org/officeDocument/2006/relationships/hyperlink" Target="https://arxiv.org/abs/2306.032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arxiv.org/abs/2309.09812" TargetMode="External"/><Relationship Id="rId5" Type="http://schemas.openxmlformats.org/officeDocument/2006/relationships/styles" Target="styles.xml"/><Relationship Id="rId15" Type="http://schemas.openxmlformats.org/officeDocument/2006/relationships/hyperlink" Target="https://pubmed.ncbi.nlm.nih.gov/16954486/" TargetMode="External"/><Relationship Id="rId23" Type="http://schemas.openxmlformats.org/officeDocument/2006/relationships/hyperlink" Target="https://arxiv.org/abs/2305.01146"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arxiv.org/abs/2204.0020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kmj.org/system/files/hkm1206p186.pdf" TargetMode="External"/><Relationship Id="rId22" Type="http://schemas.openxmlformats.org/officeDocument/2006/relationships/hyperlink" Target="https://arxiv.org/abs/2306.08666" TargetMode="External"/><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4A3A8C5B88E44AB15B5281771088FE" ma:contentTypeVersion="6" ma:contentTypeDescription="Create a new document." ma:contentTypeScope="" ma:versionID="4ee0f7c45bfc96afbd50ddffe05749ee">
  <xsd:schema xmlns:xsd="http://www.w3.org/2001/XMLSchema" xmlns:xs="http://www.w3.org/2001/XMLSchema" xmlns:p="http://schemas.microsoft.com/office/2006/metadata/properties" xmlns:ns2="60e9fc35-e09b-4cd4-a344-10a2dd34cb3e" xmlns:ns3="87ec860a-dcaf-4f67-ae23-5ba5d0bea803" targetNamespace="http://schemas.microsoft.com/office/2006/metadata/properties" ma:root="true" ma:fieldsID="2281f3444a38f78e2b66fc67779816e1" ns2:_="" ns3:_="">
    <xsd:import namespace="60e9fc35-e09b-4cd4-a344-10a2dd34cb3e"/>
    <xsd:import namespace="87ec860a-dcaf-4f67-ae23-5ba5d0bea8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9fc35-e09b-4cd4-a344-10a2dd34c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ec860a-dcaf-4f67-ae23-5ba5d0bea8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0242C-7267-4208-A2EE-230E88B85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9fc35-e09b-4cd4-a344-10a2dd34cb3e"/>
    <ds:schemaRef ds:uri="87ec860a-dcaf-4f67-ae23-5ba5d0bea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5430B4-52B2-4682-A7B4-E4535262A3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FDD23F-9D1E-410B-9BC7-887FFDC48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Bimalsen Rajbhandari</dc:creator>
  <cp:keywords/>
  <dc:description/>
  <cp:lastModifiedBy>Colleen Jung</cp:lastModifiedBy>
  <cp:revision>3</cp:revision>
  <dcterms:created xsi:type="dcterms:W3CDTF">2024-05-19T20:55:00Z</dcterms:created>
  <dcterms:modified xsi:type="dcterms:W3CDTF">2024-05-20T02:04:00Z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652a6e111f7f72ab4d23c6b857791022bd2705bc96e8e532b9c7ff4a25dccdc6</vt:lpwstr>
  </property>
  <property fmtid="{D5CDD505-2E9C-101B-9397-08002B2CF9AE}" pid="3" name="ContentTypeId">
    <vt:lpwstr>0x010100E74A3A8C5B88E44AB15B5281771088FE</vt:lpwstr>
  </property>
</Properties>
</file>