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drawing>
          <wp:inline xmlns:a="http://schemas.openxmlformats.org/drawingml/2006/main" xmlns:pic="http://schemas.openxmlformats.org/drawingml/2006/picture">
            <wp:extent cx="5852160" cy="572494"/>
            <wp:docPr id="1" name="Picture 1"/>
            <wp:cNvGraphicFramePr>
              <a:graphicFrameLocks noChangeAspect="1"/>
            </wp:cNvGraphicFramePr>
            <a:graphic>
              <a:graphicData uri="http://schemas.openxmlformats.org/drawingml/2006/picture">
                <pic:pic>
                  <pic:nvPicPr>
                    <pic:cNvPr id="0" name="WhatsApp Image 2026-10-08 at 17.39.09.jpeg"/>
                    <pic:cNvPicPr/>
                  </pic:nvPicPr>
                  <pic:blipFill>
                    <a:blip r:embed="rId11"/>
                    <a:stretch>
                      <a:fillRect/>
                    </a:stretch>
                  </pic:blipFill>
                  <pic:spPr>
                    <a:xfrm>
                      <a:off x="0" y="0"/>
                      <a:ext cx="5852160" cy="572494"/>
                    </a:xfrm>
                    <a:prstGeom prst="rect"/>
                  </pic:spPr>
                </pic:pic>
              </a:graphicData>
            </a:graphic>
          </wp:inline>
        </w:drawing>
      </w:r>
    </w:p>
    <w:p>
      <w:pPr>
        <w:spacing w:after="40"/>
        <w:jc w:val="center"/>
      </w:pPr>
      <w:r>
        <w:rPr>
          <w:rFonts w:ascii="Calibri" w:hAnsi="Calibri"/>
          <w:b/>
          <w:color w:val="16382C"/>
          <w:sz w:val="20"/>
        </w:rPr>
        <w:t>RÉPUBLIQUE DU SÉNÉGAL</w:t>
        <w:br/>
      </w:r>
      <w:r>
        <w:rPr>
          <w:rFonts w:ascii="Calibri" w:hAnsi="Calibri"/>
          <w:color w:val="333333"/>
          <w:sz w:val="18"/>
        </w:rPr>
        <w:t>MINISTÈRE DE L'ENSEIGNEMENT SUPÉRIEUR, DE LA RECHERCHE ET DE L'INNOVATION</w:t>
        <w:br/>
      </w:r>
      <w:r>
        <w:rPr>
          <w:rFonts w:ascii="Calibri" w:hAnsi="Calibri"/>
          <w:b/>
          <w:color w:val="16382C"/>
          <w:sz w:val="22"/>
        </w:rPr>
        <w:t>UNIVERSITÉ ASSANE SECK DE ZIGUINCHOR (UASZ)</w:t>
        <w:br/>
      </w:r>
      <w:r>
        <w:rPr>
          <w:rFonts w:ascii="Calibri" w:hAnsi="Calibri"/>
          <w:b/>
          <w:color w:val="B35900"/>
          <w:sz w:val="19"/>
        </w:rPr>
        <w:t>UFR DES SCIENCES ET TECHNOLOGIES — DÉPARTEMENT INFORMATIQUE</w:t>
        <w:br/>
      </w:r>
      <w:r>
        <w:rPr>
          <w:rFonts w:ascii="Calibri" w:hAnsi="Calibri"/>
          <w:i/>
          <w:color w:val="555555"/>
          <w:sz w:val="19"/>
        </w:rPr>
        <w:t>Licence 3 - Informatique (L2I) — Année Universitaire 2025-2026</w:t>
        <w:br/>
      </w:r>
    </w:p>
    <w:p>
      <w:pPr>
        <w:spacing w:before="120" w:after="160"/>
        <w:jc w:val="center"/>
      </w:pPr>
      <w:r>
        <w:rPr>
          <w:color w:val="16382C"/>
        </w:rPr>
        <w:t>―――――――――――――――――――――――――――――――――――――――――――――</w:t>
      </w:r>
    </w:p>
    <w:p>
      <w:pPr>
        <w:spacing w:after="120"/>
        <w:jc w:val="center"/>
      </w:pPr>
      <w:r>
        <w:rPr>
          <w:rFonts w:ascii="Calibri" w:hAnsi="Calibri"/>
          <w:b/>
          <w:color w:val="555555"/>
          <w:sz w:val="20"/>
        </w:rPr>
        <w:t>MODULE D'ENSEIGNEMENT :</w:t>
        <w:br/>
      </w:r>
      <w:r>
        <w:rPr>
          <w:rFonts w:ascii="Calibri" w:hAnsi="Calibri"/>
          <w:b/>
          <w:color w:val="B35900"/>
          <w:sz w:val="26"/>
        </w:rPr>
        <w:t>DÉVELOPPEMENT D'APPLICATIONS ORIENTÉES SERVICES</w:t>
        <w:br/>
      </w:r>
    </w:p>
    <w:tbl>
      <w:tblPr>
        <w:tblW w:type="auto" w:w="0"/>
        <w:jc w:val="center"/>
        <w:tblLayout w:type="fixed"/>
        <w:tblLook w:firstColumn="1" w:firstRow="1" w:lastColumn="0" w:lastRow="0" w:noHBand="0" w:noVBand="1" w:val="04A0"/>
      </w:tblPr>
      <w:tblGrid>
        <w:gridCol w:w="9648"/>
      </w:tblGrid>
      <w:tr>
        <w:tc>
          <w:tcPr>
            <w:tcW w:type="dxa" w:w="9360"/>
            <w:shd w:fill="F0F7F4"/>
            <w:tcBorders>
              <w:top w:val="none"/>
              <w:left w:val="single" w:sz="36" w:space="0" w:color="16382C"/>
              <w:bottom w:val="none"/>
              <w:right w:val="none"/>
            </w:tcBorders>
            <w:tcMar>
              <w:top w:w="160" w:type="dxa"/>
              <w:bottom w:w="160" w:type="dxa"/>
              <w:left w:w="220" w:type="dxa"/>
              <w:right w:w="180" w:type="dxa"/>
            </w:tcMar>
          </w:tcPr>
          <w:p>
            <w:pPr>
              <w:spacing w:before="80" w:after="80"/>
              <w:jc w:val="center"/>
            </w:pPr>
            <w:r>
              <w:rPr>
                <w:rFonts w:ascii="Calibri" w:hAnsi="Calibri"/>
                <w:b/>
                <w:color w:val="16382C"/>
                <w:sz w:val="22"/>
              </w:rPr>
              <w:t>COMPTE-RENDU TECHNIQUE DE TRAVAUX PRATIQUES (DEVOIR NOTÉ)</w:t>
              <w:br/>
            </w:r>
            <w:r>
              <w:rPr>
                <w:rFonts w:ascii="Calibri" w:hAnsi="Calibri"/>
                <w:b/>
                <w:color w:val="16382C"/>
                <w:sz w:val="28"/>
              </w:rPr>
              <w:t>CONCEPTION ET DÉPLOIEMENT D'UNE ARCHITECTURE MICROSERVICES DISTRIBUÉE</w:t>
              <w:br/>
            </w:r>
            <w:r>
              <w:rPr>
                <w:rFonts w:ascii="Calibri" w:hAnsi="Calibri"/>
                <w:i/>
                <w:color w:val="506070"/>
                <w:sz w:val="20"/>
              </w:rPr>
              <w:t>Transition d'un socle monolithique vers un écosystème découplé : Spring Data JPA, DTOs &amp; MapStruct, Communication Synchrone OpenFeign et Conteneurisation Docker</w:t>
            </w:r>
          </w:p>
        </w:tc>
      </w:tr>
    </w:tbl>
    <w:p>
      <w:pPr>
        <w:spacing w:after="240"/>
      </w:pPr>
    </w:p>
    <w:tbl>
      <w:tblPr>
        <w:tblW w:type="auto" w:w="0"/>
        <w:jc w:val="center"/>
        <w:tblLayout w:type="fixed"/>
        <w:tblLook w:firstColumn="1" w:firstRow="1" w:lastColumn="0" w:lastRow="0" w:noHBand="0" w:noVBand="1" w:val="04A0"/>
      </w:tblPr>
      <w:tblGrid>
        <w:gridCol w:w="4824"/>
        <w:gridCol w:w="4824"/>
      </w:tblGrid>
      <w:tr>
        <w:tc>
          <w:tcPr>
            <w:tcW w:type="dxa" w:w="4752"/>
          </w:tcPr>
          <w:p>
            <w:pPr>
              <w:spacing w:after="40" w:line="276" w:lineRule="auto"/>
            </w:pPr>
            <w:r>
              <w:rPr>
                <w:rFonts w:ascii="Calibri" w:hAnsi="Calibri"/>
                <w:b/>
                <w:color w:val="16382C"/>
                <w:sz w:val="20"/>
              </w:rPr>
              <w:t>Présenté par le binôme :</w:t>
              <w:br/>
            </w:r>
            <w:r>
              <w:rPr>
                <w:b/>
              </w:rPr>
              <w:t xml:space="preserve">• </w:t>
            </w:r>
            <w:r>
              <w:rPr>
                <w:b/>
                <w:sz w:val="21"/>
              </w:rPr>
              <w:t>Collé SYLL</w:t>
              <w:br/>
            </w:r>
            <w:r>
              <w:rPr>
                <w:color w:val="555555"/>
                <w:sz w:val="19"/>
              </w:rPr>
              <w:t xml:space="preserve">   Matricule : 202300489</w:t>
              <w:br/>
            </w:r>
            <w:r>
              <w:rPr>
                <w:b/>
              </w:rPr>
              <w:t xml:space="preserve">• </w:t>
            </w:r>
            <w:r>
              <w:rPr>
                <w:b/>
                <w:sz w:val="21"/>
              </w:rPr>
              <w:t>Ndeye Thiamba FAYE</w:t>
              <w:br/>
            </w:r>
            <w:r>
              <w:rPr>
                <w:color w:val="555555"/>
                <w:sz w:val="19"/>
              </w:rPr>
              <w:t xml:space="preserve">   Matricule : 202300488</w:t>
              <w:br/>
            </w:r>
          </w:p>
        </w:tc>
        <w:tc>
          <w:tcPr>
            <w:tcW w:type="dxa" w:w="4608"/>
          </w:tcPr>
          <w:p>
            <w:pPr>
              <w:spacing w:after="40" w:line="276" w:lineRule="auto"/>
            </w:pPr>
            <w:r>
              <w:rPr>
                <w:rFonts w:ascii="Calibri" w:hAnsi="Calibri"/>
                <w:b/>
                <w:color w:val="16382C"/>
                <w:sz w:val="20"/>
              </w:rPr>
              <w:t>Sous la direction de :</w:t>
              <w:br/>
            </w:r>
            <w:r>
              <w:rPr>
                <w:b/>
                <w:sz w:val="21"/>
              </w:rPr>
              <w:t>Dr Lamine FATY</w:t>
              <w:br/>
            </w:r>
            <w:r>
              <w:rPr>
                <w:color w:val="555555"/>
                <w:sz w:val="19"/>
              </w:rPr>
              <w:t>Enseignant-Chercheur</w:t>
              <w:br/>
              <w:t>Département Informatique, UASZ</w:t>
            </w:r>
          </w:p>
        </w:tc>
      </w:tr>
    </w:tbl>
    <w:p>
      <w:pPr>
        <w:spacing w:before="560" w:after="0"/>
        <w:jc w:val="center"/>
      </w:pPr>
      <w:r>
        <w:rPr>
          <w:rFonts w:ascii="Calibri" w:hAnsi="Calibri"/>
          <w:i/>
          <w:color w:val="777777"/>
          <w:sz w:val="19"/>
        </w:rPr>
        <w:t>Ziguinchor, Sénégal — Février / Mars 2026</w:t>
      </w:r>
    </w:p>
    <w:p>
      <w:r>
        <w:br w:type="page"/>
      </w:r>
    </w:p>
    <w:p>
      <w:pPr>
        <w:keepNext/>
        <w:spacing w:before="360" w:after="120"/>
      </w:pPr>
      <w:r>
        <w:rPr>
          <w:rFonts w:ascii="Calibri" w:hAnsi="Calibri"/>
          <w:b/>
          <w:color w:val="16382C"/>
          <w:sz w:val="29"/>
        </w:rPr>
        <w:t>SOMMAIRE DU COMPTE-RENDU</w:t>
      </w:r>
    </w:p>
    <w:tbl>
      <w:tblPr>
        <w:tblW w:type="auto" w:w="0"/>
        <w:jc w:val="center"/>
        <w:tblLayout w:type="fixed"/>
        <w:tblLook w:firstColumn="1" w:firstRow="1" w:lastColumn="0" w:lastRow="0" w:noHBand="0" w:noVBand="1" w:val="04A0"/>
      </w:tblPr>
      <w:tblGrid>
        <w:gridCol w:w="4824"/>
        <w:gridCol w:w="4824"/>
      </w:tblGrid>
      <w:tr>
        <w:tc>
          <w:tcPr>
            <w:tcW w:type="dxa" w:w="8352"/>
            <w:shd w:fill="F0F7F4"/>
          </w:tcPr>
          <w:p>
            <w:pPr>
              <w:spacing w:before="20" w:after="20"/>
            </w:pPr>
            <w:r>
              <w:rPr>
                <w:rFonts w:ascii="Calibri" w:hAnsi="Calibri"/>
                <w:b/>
                <w:color w:val="16382C"/>
                <w:sz w:val="19"/>
              </w:rPr>
              <w:t>I. INTRODUCTION GÉNÉRALE</w:t>
            </w:r>
          </w:p>
        </w:tc>
        <w:tc>
          <w:tcPr>
            <w:tcW w:type="dxa" w:w="1008"/>
            <w:shd w:fill="F0F7F4"/>
          </w:tcPr>
          <w:p>
            <w:pPr>
              <w:spacing w:before="20" w:after="20"/>
              <w:jc w:val="right"/>
            </w:pPr>
            <w:r>
              <w:rPr>
                <w:rFonts w:ascii="Calibri" w:hAnsi="Calibri"/>
                <w:b/>
                <w:sz w:val="19"/>
              </w:rPr>
              <w:t>3</w:t>
            </w:r>
          </w:p>
        </w:tc>
      </w:tr>
      <w:tr>
        <w:tc>
          <w:tcPr>
            <w:tcW w:type="dxa" w:w="8352"/>
          </w:tcPr>
          <w:p>
            <w:pPr>
              <w:spacing w:before="20" w:after="20"/>
            </w:pPr>
            <w:r>
              <w:rPr>
                <w:rFonts w:ascii="Calibri" w:hAnsi="Calibri"/>
                <w:sz w:val="19"/>
              </w:rPr>
              <w:t xml:space="preserve">   1.1 Contexte pédagogique et problématique du socle monolithique</w:t>
            </w:r>
          </w:p>
        </w:tc>
        <w:tc>
          <w:tcPr>
            <w:tcW w:type="dxa" w:w="1008"/>
          </w:tcPr>
          <w:p>
            <w:pPr>
              <w:spacing w:before="20" w:after="20"/>
              <w:jc w:val="right"/>
            </w:pPr>
            <w:r>
              <w:rPr>
                <w:rFonts w:ascii="Calibri" w:hAnsi="Calibri"/>
                <w:b/>
                <w:sz w:val="19"/>
              </w:rPr>
              <w:t>3</w:t>
            </w:r>
          </w:p>
        </w:tc>
      </w:tr>
      <w:tr>
        <w:tc>
          <w:tcPr>
            <w:tcW w:type="dxa" w:w="8352"/>
          </w:tcPr>
          <w:p>
            <w:pPr>
              <w:spacing w:before="20" w:after="20"/>
            </w:pPr>
            <w:r>
              <w:rPr>
                <w:rFonts w:ascii="Calibri" w:hAnsi="Calibri"/>
                <w:sz w:val="19"/>
              </w:rPr>
              <w:t xml:space="preserve">   1.2 Pourquoi abandonner le monolithe : limites et goulets d'étranglement</w:t>
            </w:r>
          </w:p>
        </w:tc>
        <w:tc>
          <w:tcPr>
            <w:tcW w:type="dxa" w:w="1008"/>
          </w:tcPr>
          <w:p>
            <w:pPr>
              <w:spacing w:before="20" w:after="20"/>
              <w:jc w:val="right"/>
            </w:pPr>
            <w:r>
              <w:rPr>
                <w:rFonts w:ascii="Calibri" w:hAnsi="Calibri"/>
                <w:b/>
                <w:sz w:val="19"/>
              </w:rPr>
              <w:t>3</w:t>
            </w:r>
          </w:p>
        </w:tc>
      </w:tr>
      <w:tr>
        <w:tc>
          <w:tcPr>
            <w:tcW w:type="dxa" w:w="8352"/>
          </w:tcPr>
          <w:p>
            <w:pPr>
              <w:spacing w:before="20" w:after="20"/>
            </w:pPr>
            <w:r>
              <w:rPr>
                <w:rFonts w:ascii="Calibri" w:hAnsi="Calibri"/>
                <w:sz w:val="19"/>
              </w:rPr>
              <w:t xml:space="preserve">   1.3 Objectifs d'apprentissage et articulation des Travaux Pratiques (TP 1, TP 2, TP 3)</w:t>
            </w:r>
          </w:p>
        </w:tc>
        <w:tc>
          <w:tcPr>
            <w:tcW w:type="dxa" w:w="1008"/>
          </w:tcPr>
          <w:p>
            <w:pPr>
              <w:spacing w:before="20" w:after="20"/>
              <w:jc w:val="right"/>
            </w:pPr>
            <w:r>
              <w:rPr>
                <w:rFonts w:ascii="Calibri" w:hAnsi="Calibri"/>
                <w:b/>
                <w:sz w:val="19"/>
              </w:rPr>
              <w:t>4</w:t>
            </w:r>
          </w:p>
        </w:tc>
      </w:tr>
      <w:tr>
        <w:tc>
          <w:tcPr>
            <w:tcW w:type="dxa" w:w="8352"/>
            <w:shd w:fill="F0F7F4"/>
          </w:tcPr>
          <w:p>
            <w:pPr>
              <w:spacing w:before="20" w:after="20"/>
            </w:pPr>
            <w:r>
              <w:rPr>
                <w:rFonts w:ascii="Calibri" w:hAnsi="Calibri"/>
                <w:b/>
                <w:color w:val="16382C"/>
                <w:sz w:val="19"/>
              </w:rPr>
              <w:t>II. DÉVELOPPEMENT TECHNIQUE &amp; IMPLÉMENTATION DES MICROSERVICES</w:t>
            </w:r>
          </w:p>
        </w:tc>
        <w:tc>
          <w:tcPr>
            <w:tcW w:type="dxa" w:w="1008"/>
            <w:shd w:fill="F0F7F4"/>
          </w:tcPr>
          <w:p>
            <w:pPr>
              <w:spacing w:before="20" w:after="20"/>
              <w:jc w:val="right"/>
            </w:pPr>
            <w:r>
              <w:rPr>
                <w:rFonts w:ascii="Calibri" w:hAnsi="Calibri"/>
                <w:b/>
                <w:sz w:val="19"/>
              </w:rPr>
              <w:t>5</w:t>
            </w:r>
          </w:p>
        </w:tc>
      </w:tr>
      <w:tr>
        <w:tc>
          <w:tcPr>
            <w:tcW w:type="dxa" w:w="8352"/>
          </w:tcPr>
          <w:p>
            <w:pPr>
              <w:spacing w:before="20" w:after="20"/>
            </w:pPr>
            <w:r>
              <w:rPr>
                <w:rFonts w:ascii="Calibri" w:hAnsi="Calibri"/>
                <w:sz w:val="19"/>
              </w:rPr>
              <w:t xml:space="preserve">   2.1 Cartographie architecturale de l'écosystème distribué</w:t>
            </w:r>
          </w:p>
        </w:tc>
        <w:tc>
          <w:tcPr>
            <w:tcW w:type="dxa" w:w="1008"/>
          </w:tcPr>
          <w:p>
            <w:pPr>
              <w:spacing w:before="20" w:after="20"/>
              <w:jc w:val="right"/>
            </w:pPr>
            <w:r>
              <w:rPr>
                <w:rFonts w:ascii="Calibri" w:hAnsi="Calibri"/>
                <w:b/>
                <w:sz w:val="19"/>
              </w:rPr>
              <w:t>5</w:t>
            </w:r>
          </w:p>
        </w:tc>
      </w:tr>
      <w:tr>
        <w:tc>
          <w:tcPr>
            <w:tcW w:type="dxa" w:w="8352"/>
          </w:tcPr>
          <w:p>
            <w:pPr>
              <w:spacing w:before="20" w:after="20"/>
            </w:pPr>
            <w:r>
              <w:rPr>
                <w:rFonts w:ascii="Calibri" w:hAnsi="Calibri"/>
                <w:sz w:val="19"/>
              </w:rPr>
              <w:t xml:space="preserve">   2.2 TP 1 : Couche de persistance avancée avec Spring Data JPA</w:t>
            </w:r>
          </w:p>
        </w:tc>
        <w:tc>
          <w:tcPr>
            <w:tcW w:type="dxa" w:w="1008"/>
          </w:tcPr>
          <w:p>
            <w:pPr>
              <w:spacing w:before="20" w:after="20"/>
              <w:jc w:val="right"/>
            </w:pPr>
            <w:r>
              <w:rPr>
                <w:rFonts w:ascii="Calibri" w:hAnsi="Calibri"/>
                <w:b/>
                <w:sz w:val="19"/>
              </w:rPr>
              <w:t>6</w:t>
            </w:r>
          </w:p>
        </w:tc>
      </w:tr>
      <w:tr>
        <w:tc>
          <w:tcPr>
            <w:tcW w:type="dxa" w:w="8352"/>
          </w:tcPr>
          <w:p>
            <w:pPr>
              <w:spacing w:before="20" w:after="20"/>
            </w:pPr>
            <w:r>
              <w:rPr>
                <w:rFonts w:ascii="Calibri" w:hAnsi="Calibri"/>
                <w:sz w:val="19"/>
              </w:rPr>
              <w:t xml:space="preserve">       • Entité relationnelle 'Patrimoine.java' (Code commenté)</w:t>
            </w:r>
          </w:p>
        </w:tc>
        <w:tc>
          <w:tcPr>
            <w:tcW w:type="dxa" w:w="1008"/>
          </w:tcPr>
          <w:p>
            <w:pPr>
              <w:spacing w:before="20" w:after="20"/>
              <w:jc w:val="right"/>
            </w:pPr>
            <w:r>
              <w:rPr>
                <w:rFonts w:ascii="Calibri" w:hAnsi="Calibri"/>
                <w:b/>
                <w:sz w:val="19"/>
              </w:rPr>
              <w:t>6</w:t>
            </w:r>
          </w:p>
        </w:tc>
      </w:tr>
      <w:tr>
        <w:tc>
          <w:tcPr>
            <w:tcW w:type="dxa" w:w="8352"/>
          </w:tcPr>
          <w:p>
            <w:pPr>
              <w:spacing w:before="20" w:after="20"/>
            </w:pPr>
            <w:r>
              <w:rPr>
                <w:rFonts w:ascii="Calibri" w:hAnsi="Calibri"/>
                <w:sz w:val="19"/>
              </w:rPr>
              <w:t xml:space="preserve">       • Interface de persistance 'PatrimoineRepository.java' (Slide 16 TP1)</w:t>
            </w:r>
          </w:p>
        </w:tc>
        <w:tc>
          <w:tcPr>
            <w:tcW w:type="dxa" w:w="1008"/>
          </w:tcPr>
          <w:p>
            <w:pPr>
              <w:spacing w:before="20" w:after="20"/>
              <w:jc w:val="right"/>
            </w:pPr>
            <w:r>
              <w:rPr>
                <w:rFonts w:ascii="Calibri" w:hAnsi="Calibri"/>
                <w:b/>
                <w:sz w:val="19"/>
              </w:rPr>
              <w:t>7</w:t>
            </w:r>
          </w:p>
        </w:tc>
      </w:tr>
      <w:tr>
        <w:tc>
          <w:tcPr>
            <w:tcW w:type="dxa" w:w="8352"/>
          </w:tcPr>
          <w:p>
            <w:pPr>
              <w:spacing w:before="20" w:after="20"/>
            </w:pPr>
            <w:r>
              <w:rPr>
                <w:rFonts w:ascii="Calibri" w:hAnsi="Calibri"/>
                <w:sz w:val="19"/>
              </w:rPr>
              <w:t xml:space="preserve">   2.3 TP 2 : Isolation par DTO, Génération MapStruct &amp; Communication OpenFeign</w:t>
            </w:r>
          </w:p>
        </w:tc>
        <w:tc>
          <w:tcPr>
            <w:tcW w:type="dxa" w:w="1008"/>
          </w:tcPr>
          <w:p>
            <w:pPr>
              <w:spacing w:before="20" w:after="20"/>
              <w:jc w:val="right"/>
            </w:pPr>
            <w:r>
              <w:rPr>
                <w:rFonts w:ascii="Calibri" w:hAnsi="Calibri"/>
                <w:b/>
                <w:sz w:val="19"/>
              </w:rPr>
              <w:t>8</w:t>
            </w:r>
          </w:p>
        </w:tc>
      </w:tr>
      <w:tr>
        <w:tc>
          <w:tcPr>
            <w:tcW w:type="dxa" w:w="8352"/>
          </w:tcPr>
          <w:p>
            <w:pPr>
              <w:spacing w:before="20" w:after="20"/>
            </w:pPr>
            <w:r>
              <w:rPr>
                <w:rFonts w:ascii="Calibri" w:hAnsi="Calibri"/>
                <w:sz w:val="19"/>
              </w:rPr>
              <w:t xml:space="preserve">       • Le pattern DTO et découplage du modèle physique (Slide 7 TP2)</w:t>
            </w:r>
          </w:p>
        </w:tc>
        <w:tc>
          <w:tcPr>
            <w:tcW w:type="dxa" w:w="1008"/>
          </w:tcPr>
          <w:p>
            <w:pPr>
              <w:spacing w:before="20" w:after="20"/>
              <w:jc w:val="right"/>
            </w:pPr>
            <w:r>
              <w:rPr>
                <w:rFonts w:ascii="Calibri" w:hAnsi="Calibri"/>
                <w:b/>
                <w:sz w:val="19"/>
              </w:rPr>
              <w:t>8</w:t>
            </w:r>
          </w:p>
        </w:tc>
      </w:tr>
      <w:tr>
        <w:tc>
          <w:tcPr>
            <w:tcW w:type="dxa" w:w="8352"/>
          </w:tcPr>
          <w:p>
            <w:pPr>
              <w:spacing w:before="20" w:after="20"/>
            </w:pPr>
            <w:r>
              <w:rPr>
                <w:rFonts w:ascii="Calibri" w:hAnsi="Calibri"/>
                <w:sz w:val="19"/>
              </w:rPr>
              <w:t xml:space="preserve">       • Génération automatique de conversion avec MapStruct (Slide 9 TP2)</w:t>
            </w:r>
          </w:p>
        </w:tc>
        <w:tc>
          <w:tcPr>
            <w:tcW w:type="dxa" w:w="1008"/>
          </w:tcPr>
          <w:p>
            <w:pPr>
              <w:spacing w:before="20" w:after="20"/>
              <w:jc w:val="right"/>
            </w:pPr>
            <w:r>
              <w:rPr>
                <w:rFonts w:ascii="Calibri" w:hAnsi="Calibri"/>
                <w:b/>
                <w:sz w:val="19"/>
              </w:rPr>
              <w:t>9</w:t>
            </w:r>
          </w:p>
        </w:tc>
      </w:tr>
      <w:tr>
        <w:tc>
          <w:tcPr>
            <w:tcW w:type="dxa" w:w="8352"/>
          </w:tcPr>
          <w:p>
            <w:pPr>
              <w:spacing w:before="20" w:after="20"/>
            </w:pPr>
            <w:r>
              <w:rPr>
                <w:rFonts w:ascii="Calibri" w:hAnsi="Calibri"/>
                <w:sz w:val="19"/>
              </w:rPr>
              <w:t xml:space="preserve">       • Exposition REST et Contrôleur d'API (Slides 17-21 TP2)</w:t>
            </w:r>
          </w:p>
        </w:tc>
        <w:tc>
          <w:tcPr>
            <w:tcW w:type="dxa" w:w="1008"/>
          </w:tcPr>
          <w:p>
            <w:pPr>
              <w:spacing w:before="20" w:after="20"/>
              <w:jc w:val="right"/>
            </w:pPr>
            <w:r>
              <w:rPr>
                <w:rFonts w:ascii="Calibri" w:hAnsi="Calibri"/>
                <w:b/>
                <w:sz w:val="19"/>
              </w:rPr>
              <w:t>10</w:t>
            </w:r>
          </w:p>
        </w:tc>
      </w:tr>
      <w:tr>
        <w:tc>
          <w:tcPr>
            <w:tcW w:type="dxa" w:w="8352"/>
          </w:tcPr>
          <w:p>
            <w:pPr>
              <w:spacing w:before="20" w:after="20"/>
            </w:pPr>
            <w:r>
              <w:rPr>
                <w:rFonts w:ascii="Calibri" w:hAnsi="Calibri"/>
                <w:sz w:val="19"/>
              </w:rPr>
              <w:t xml:space="preserve">       • Communication inter-services synchrone avec OpenFeign (Slide 32 TP2)</w:t>
            </w:r>
          </w:p>
        </w:tc>
        <w:tc>
          <w:tcPr>
            <w:tcW w:type="dxa" w:w="1008"/>
          </w:tcPr>
          <w:p>
            <w:pPr>
              <w:spacing w:before="20" w:after="20"/>
              <w:jc w:val="right"/>
            </w:pPr>
            <w:r>
              <w:rPr>
                <w:rFonts w:ascii="Calibri" w:hAnsi="Calibri"/>
                <w:b/>
                <w:sz w:val="19"/>
              </w:rPr>
              <w:t>11</w:t>
            </w:r>
          </w:p>
        </w:tc>
      </w:tr>
      <w:tr>
        <w:tc>
          <w:tcPr>
            <w:tcW w:type="dxa" w:w="8352"/>
          </w:tcPr>
          <w:p>
            <w:pPr>
              <w:spacing w:before="20" w:after="20"/>
            </w:pPr>
            <w:r>
              <w:rPr>
                <w:rFonts w:ascii="Calibri" w:hAnsi="Calibri"/>
                <w:sz w:val="19"/>
              </w:rPr>
              <w:t xml:space="preserve">       • Application stricte de la règle d'isolation du Slide 28</w:t>
            </w:r>
          </w:p>
        </w:tc>
        <w:tc>
          <w:tcPr>
            <w:tcW w:type="dxa" w:w="1008"/>
          </w:tcPr>
          <w:p>
            <w:pPr>
              <w:spacing w:before="20" w:after="20"/>
              <w:jc w:val="right"/>
            </w:pPr>
            <w:r>
              <w:rPr>
                <w:rFonts w:ascii="Calibri" w:hAnsi="Calibri"/>
                <w:b/>
                <w:sz w:val="19"/>
              </w:rPr>
              <w:t>12</w:t>
            </w:r>
          </w:p>
        </w:tc>
      </w:tr>
      <w:tr>
        <w:tc>
          <w:tcPr>
            <w:tcW w:type="dxa" w:w="8352"/>
          </w:tcPr>
          <w:p>
            <w:pPr>
              <w:spacing w:before="20" w:after="20"/>
            </w:pPr>
            <w:r>
              <w:rPr>
                <w:rFonts w:ascii="Calibri" w:hAnsi="Calibri"/>
                <w:sz w:val="19"/>
              </w:rPr>
              <w:t xml:space="preserve">   2.4 TP 3 : Conteneurisation Docker, Packaging et Orchestration Docker Compose</w:t>
            </w:r>
          </w:p>
        </w:tc>
        <w:tc>
          <w:tcPr>
            <w:tcW w:type="dxa" w:w="1008"/>
          </w:tcPr>
          <w:p>
            <w:pPr>
              <w:spacing w:before="20" w:after="20"/>
              <w:jc w:val="right"/>
            </w:pPr>
            <w:r>
              <w:rPr>
                <w:rFonts w:ascii="Calibri" w:hAnsi="Calibri"/>
                <w:b/>
                <w:sz w:val="19"/>
              </w:rPr>
              <w:t>13</w:t>
            </w:r>
          </w:p>
        </w:tc>
      </w:tr>
      <w:tr>
        <w:tc>
          <w:tcPr>
            <w:tcW w:type="dxa" w:w="8352"/>
          </w:tcPr>
          <w:p>
            <w:pPr>
              <w:spacing w:before="20" w:after="20"/>
            </w:pPr>
            <w:r>
              <w:rPr>
                <w:rFonts w:ascii="Calibri" w:hAnsi="Calibri"/>
                <w:sz w:val="19"/>
              </w:rPr>
              <w:t xml:space="preserve">       • Fichier Dockerfile multi-services (Java 21 LTS)</w:t>
            </w:r>
          </w:p>
        </w:tc>
        <w:tc>
          <w:tcPr>
            <w:tcW w:type="dxa" w:w="1008"/>
          </w:tcPr>
          <w:p>
            <w:pPr>
              <w:spacing w:before="20" w:after="20"/>
              <w:jc w:val="right"/>
            </w:pPr>
            <w:r>
              <w:rPr>
                <w:rFonts w:ascii="Calibri" w:hAnsi="Calibri"/>
                <w:b/>
                <w:sz w:val="19"/>
              </w:rPr>
              <w:t>13</w:t>
            </w:r>
          </w:p>
        </w:tc>
      </w:tr>
      <w:tr>
        <w:tc>
          <w:tcPr>
            <w:tcW w:type="dxa" w:w="8352"/>
          </w:tcPr>
          <w:p>
            <w:pPr>
              <w:spacing w:before="20" w:after="20"/>
            </w:pPr>
            <w:r>
              <w:rPr>
                <w:rFonts w:ascii="Calibri" w:hAnsi="Calibri"/>
                <w:sz w:val="19"/>
              </w:rPr>
              <w:t xml:space="preserve">       • Orchestration multi-conteneurs et intégration MySQL XAMPP</w:t>
            </w:r>
          </w:p>
        </w:tc>
        <w:tc>
          <w:tcPr>
            <w:tcW w:type="dxa" w:w="1008"/>
          </w:tcPr>
          <w:p>
            <w:pPr>
              <w:spacing w:before="20" w:after="20"/>
              <w:jc w:val="right"/>
            </w:pPr>
            <w:r>
              <w:rPr>
                <w:rFonts w:ascii="Calibri" w:hAnsi="Calibri"/>
                <w:b/>
                <w:sz w:val="19"/>
              </w:rPr>
              <w:t>14</w:t>
            </w:r>
          </w:p>
        </w:tc>
      </w:tr>
      <w:tr>
        <w:tc>
          <w:tcPr>
            <w:tcW w:type="dxa" w:w="8352"/>
          </w:tcPr>
          <w:p>
            <w:pPr>
              <w:spacing w:before="20" w:after="20"/>
            </w:pPr>
            <w:r>
              <w:rPr>
                <w:rFonts w:ascii="Calibri" w:hAnsi="Calibri"/>
                <w:sz w:val="19"/>
              </w:rPr>
              <w:t xml:space="preserve">       • Nomenclature des images et exécution opérationnelle</w:t>
            </w:r>
          </w:p>
        </w:tc>
        <w:tc>
          <w:tcPr>
            <w:tcW w:type="dxa" w:w="1008"/>
          </w:tcPr>
          <w:p>
            <w:pPr>
              <w:spacing w:before="20" w:after="20"/>
              <w:jc w:val="right"/>
            </w:pPr>
            <w:r>
              <w:rPr>
                <w:rFonts w:ascii="Calibri" w:hAnsi="Calibri"/>
                <w:b/>
                <w:sz w:val="19"/>
              </w:rPr>
              <w:t>15</w:t>
            </w:r>
          </w:p>
        </w:tc>
      </w:tr>
      <w:tr>
        <w:tc>
          <w:tcPr>
            <w:tcW w:type="dxa" w:w="8352"/>
            <w:shd w:fill="F0F7F4"/>
          </w:tcPr>
          <w:p>
            <w:pPr>
              <w:spacing w:before="20" w:after="20"/>
            </w:pPr>
            <w:r>
              <w:rPr>
                <w:rFonts w:ascii="Calibri" w:hAnsi="Calibri"/>
                <w:b/>
                <w:color w:val="16382C"/>
                <w:sz w:val="19"/>
              </w:rPr>
              <w:t>III. CONCLUSION GÉNÉRALE &amp; BILAN TECHNIQUE</w:t>
            </w:r>
          </w:p>
        </w:tc>
        <w:tc>
          <w:tcPr>
            <w:tcW w:type="dxa" w:w="1008"/>
            <w:shd w:fill="F0F7F4"/>
          </w:tcPr>
          <w:p>
            <w:pPr>
              <w:spacing w:before="20" w:after="20"/>
              <w:jc w:val="right"/>
            </w:pPr>
            <w:r>
              <w:rPr>
                <w:rFonts w:ascii="Calibri" w:hAnsi="Calibri"/>
                <w:b/>
                <w:sz w:val="19"/>
              </w:rPr>
              <w:t>16</w:t>
            </w:r>
          </w:p>
        </w:tc>
      </w:tr>
      <w:tr>
        <w:tc>
          <w:tcPr>
            <w:tcW w:type="dxa" w:w="8352"/>
          </w:tcPr>
          <w:p>
            <w:pPr>
              <w:spacing w:before="20" w:after="20"/>
            </w:pPr>
            <w:r>
              <w:rPr>
                <w:rFonts w:ascii="Calibri" w:hAnsi="Calibri"/>
                <w:sz w:val="19"/>
              </w:rPr>
              <w:t xml:space="preserve">   3.1 Tableau comparatif : Architecture Monolithique vs Microservices Distribués</w:t>
            </w:r>
          </w:p>
        </w:tc>
        <w:tc>
          <w:tcPr>
            <w:tcW w:type="dxa" w:w="1008"/>
          </w:tcPr>
          <w:p>
            <w:pPr>
              <w:spacing w:before="20" w:after="20"/>
              <w:jc w:val="right"/>
            </w:pPr>
            <w:r>
              <w:rPr>
                <w:rFonts w:ascii="Calibri" w:hAnsi="Calibri"/>
                <w:b/>
                <w:sz w:val="19"/>
              </w:rPr>
              <w:t>16</w:t>
            </w:r>
          </w:p>
        </w:tc>
      </w:tr>
      <w:tr>
        <w:tc>
          <w:tcPr>
            <w:tcW w:type="dxa" w:w="8352"/>
          </w:tcPr>
          <w:p>
            <w:pPr>
              <w:spacing w:before="20" w:after="20"/>
            </w:pPr>
            <w:r>
              <w:rPr>
                <w:rFonts w:ascii="Calibri" w:hAnsi="Calibri"/>
                <w:sz w:val="19"/>
              </w:rPr>
              <w:t xml:space="preserve">   3.2 Synthèse des compétences acquises et perspectives d'industrialisation</w:t>
            </w:r>
          </w:p>
        </w:tc>
        <w:tc>
          <w:tcPr>
            <w:tcW w:type="dxa" w:w="1008"/>
          </w:tcPr>
          <w:p>
            <w:pPr>
              <w:spacing w:before="20" w:after="20"/>
              <w:jc w:val="right"/>
            </w:pPr>
            <w:r>
              <w:rPr>
                <w:rFonts w:ascii="Calibri" w:hAnsi="Calibri"/>
                <w:b/>
                <w:sz w:val="19"/>
              </w:rPr>
              <w:t>17</w:t>
            </w:r>
          </w:p>
        </w:tc>
      </w:tr>
    </w:tbl>
    <w:p>
      <w:pPr>
        <w:spacing w:after="200"/>
      </w:pPr>
    </w:p>
    <w:tbl>
      <w:tblPr>
        <w:tblW w:type="auto" w:w="0"/>
        <w:jc w:val="center"/>
        <w:tblLayout w:type="fixed"/>
        <w:tblLook w:firstColumn="1" w:firstRow="1" w:lastColumn="0" w:lastRow="0" w:noHBand="0" w:noVBand="1" w:val="04A0"/>
      </w:tblPr>
      <w:tblGrid>
        <w:gridCol w:w="9648"/>
      </w:tblGrid>
      <w:tr>
        <w:tc>
          <w:tcPr>
            <w:tcW w:type="dxa" w:w="9360"/>
            <w:shd w:fill="F4F6F9"/>
            <w:tcBorders>
              <w:top w:val="none"/>
              <w:left w:val="single" w:sz="28" w:space="0" w:color="006699"/>
              <w:bottom w:val="none"/>
              <w:right w:val="none"/>
            </w:tcBorders>
            <w:tcMar>
              <w:top w:w="140" w:type="dxa"/>
              <w:bottom w:w="140" w:type="dxa"/>
              <w:left w:w="220" w:type="dxa"/>
              <w:right w:w="180" w:type="dxa"/>
            </w:tcMar>
          </w:tcPr>
          <w:p>
            <w:pPr>
              <w:spacing w:before="40" w:after="40" w:line="276" w:lineRule="auto"/>
            </w:pPr>
            <w:r>
              <w:rPr>
                <w:rFonts w:ascii="Calibri" w:hAnsi="Calibri"/>
                <w:b/>
                <w:color w:val="006699"/>
                <w:sz w:val="20"/>
              </w:rPr>
              <w:t xml:space="preserve">📌 GLOSSAIRE DES ACRONYMES TECHNIQUES : </w:t>
            </w:r>
            <w:r>
              <w:rPr>
                <w:rFonts w:ascii="Calibri" w:hAnsi="Calibri"/>
                <w:i/>
                <w:color w:val="323C46"/>
                <w:sz w:val="19"/>
              </w:rPr>
              <w:t>JPA : Java Persistence API | ORM : Object-Relational Mapping | DTO : Data Transfer Object | OpenFeign : Client REST déclaratif Spring Cloud | CRUD : Create, Read, Update, Delete | SOA : Service-Oriented Architecture | REST : Representational State Transfer | JSON : JavaScript Object Notation.</w:t>
            </w:r>
          </w:p>
        </w:tc>
      </w:tr>
    </w:tbl>
    <w:p>
      <w:pPr>
        <w:spacing w:after="80"/>
      </w:pPr>
    </w:p>
    <w:p>
      <w:r>
        <w:br w:type="page"/>
      </w:r>
    </w:p>
    <w:p>
      <w:pPr>
        <w:keepNext/>
        <w:spacing w:before="360" w:after="120"/>
      </w:pPr>
      <w:r>
        <w:rPr>
          <w:rFonts w:ascii="Calibri" w:hAnsi="Calibri"/>
          <w:b/>
          <w:color w:val="16382C"/>
          <w:sz w:val="29"/>
        </w:rPr>
        <w:t>I. INTRODUCTION GÉNÉRALE</w:t>
      </w:r>
    </w:p>
    <w:p>
      <w:pPr>
        <w:keepNext/>
        <w:spacing w:before="240" w:after="80"/>
      </w:pPr>
      <w:r>
        <w:rPr>
          <w:rFonts w:ascii="Calibri" w:hAnsi="Calibri"/>
          <w:b/>
          <w:color w:val="B35900"/>
          <w:sz w:val="25"/>
        </w:rPr>
        <w:t>1.1 Contexte Pédagogique et Périmètre du Module</w:t>
      </w:r>
    </w:p>
    <w:p>
      <w:pPr>
        <w:spacing w:before="0" w:after="80" w:line="276" w:lineRule="auto"/>
        <w:jc w:val="both"/>
      </w:pPr>
      <w:r>
        <w:rPr>
          <w:rFonts w:ascii="Calibri" w:hAnsi="Calibri"/>
          <w:color w:val="2E343A"/>
          <w:sz w:val="20"/>
        </w:rPr>
        <w:t>Le présent travail s'inscrit dans le cadre des travaux pratiques et de l'évaluation semestrielle du module « Développement d'Applications Orientées Services » (Licence 3 Informatique - L2I) dispensé par Dr Lamine FATY à l'Université Assane SECK de Ziguinchor. L'enjeu fondamental de cet enseignement est d'inculquer aux futurs ingénieurs les paradigmes modernes de conception logicielle distribuée, en rupture avec les architectures monolithiques traditionnelles.</w:t>
      </w:r>
    </w:p>
    <w:p>
      <w:pPr>
        <w:spacing w:before="0" w:after="80" w:line="276" w:lineRule="auto"/>
        <w:jc w:val="both"/>
      </w:pPr>
      <w:r>
        <w:rPr>
          <w:rFonts w:ascii="Calibri" w:hAnsi="Calibri"/>
          <w:color w:val="2E343A"/>
          <w:sz w:val="20"/>
        </w:rPr>
        <w:t>Pour illustrer concrètement ces concepts, notre binôme (Collé SYLL &amp; Ndeye Thiamba FAYE) a pris comme point de départ une application patrimoniale et touristique initialement développée sous forme d'un bloc monolithique indivisible. À travers une série méthodique de trois Travaux Pratiques (TP 1, TP 2 et TP 3), nous avons décomposé ce bloc pour implémenter une architecture orientée microservices moderne, hautement disponible et conteneurisée.</w:t>
      </w:r>
    </w:p>
    <w:p>
      <w:pPr>
        <w:keepNext/>
        <w:spacing w:before="240" w:after="80"/>
      </w:pPr>
      <w:r>
        <w:rPr>
          <w:rFonts w:ascii="Calibri" w:hAnsi="Calibri"/>
          <w:b/>
          <w:color w:val="B35900"/>
          <w:sz w:val="25"/>
        </w:rPr>
        <w:t>1.2 Pourquoi Abandonner le Monolithe ? Analyse Critique des Limites</w:t>
      </w:r>
    </w:p>
    <w:p>
      <w:pPr>
        <w:spacing w:before="0" w:after="80" w:line="276" w:lineRule="auto"/>
        <w:jc w:val="both"/>
      </w:pPr>
      <w:r>
        <w:rPr>
          <w:rFonts w:ascii="Calibri" w:hAnsi="Calibri"/>
          <w:color w:val="2E343A"/>
          <w:sz w:val="20"/>
        </w:rPr>
        <w:t>L'architecture monolithique réunit au sein d'un unique exécutable (un gros fichier JAR ou WAR) l'ensemble des modules fonctionnels : gestion des sites de patrimoine, gestion des circuits touristiques, gestion des événements, réservations et interface utilisateur. Si cette approche offre une simplicité trompeuse lors de la phase initiale de prototypage, elle révèle rapidement des faiblesses rédhibitoires à l'échelle industrielle :</w:t>
      </w:r>
    </w:p>
    <w:p>
      <w:pPr>
        <w:spacing w:before="0" w:after="80" w:line="276" w:lineRule="auto"/>
        <w:jc w:val="both"/>
      </w:pPr>
      <w:r>
        <w:rPr>
          <w:rFonts w:ascii="Calibri" w:hAnsi="Calibri"/>
          <w:b/>
          <w:color w:val="202428"/>
          <w:sz w:val="20"/>
        </w:rPr>
        <w:t xml:space="preserve">1. Couplage fort et point unique de défaillance (Single Point of Failure) : </w:t>
      </w:r>
      <w:r>
        <w:rPr>
          <w:rFonts w:ascii="Calibri" w:hAnsi="Calibri"/>
          <w:color w:val="2E343A"/>
          <w:sz w:val="20"/>
        </w:rPr>
        <w:t>Toutes les fonctionnalités s'exécutent dans la même JVM et partagent le même schéma de base de données relationnelle. Une exception non gérée ou une fuite de mémoire dans le module de gestion des photos de patrimoine entraîne le crash immédiat de l'ensemble du système (y compris les réservations en ligne).</w:t>
      </w:r>
    </w:p>
    <w:p>
      <w:pPr>
        <w:spacing w:before="0" w:after="80" w:line="276" w:lineRule="auto"/>
        <w:jc w:val="both"/>
      </w:pPr>
      <w:r>
        <w:rPr>
          <w:rFonts w:ascii="Calibri" w:hAnsi="Calibri"/>
          <w:b/>
          <w:color w:val="202428"/>
          <w:sz w:val="20"/>
        </w:rPr>
        <w:t xml:space="preserve">2. Incapacité à passer à l'échelle de façon granulaire (Scalabilité inefficace) : </w:t>
      </w:r>
      <w:r>
        <w:rPr>
          <w:rFonts w:ascii="Calibri" w:hAnsi="Calibri"/>
          <w:color w:val="2E343A"/>
          <w:sz w:val="20"/>
        </w:rPr>
        <w:t>Même si seule la recherche de patrimoine connaît un pic d'affluence le week-end, il est impossible de ne répliquer que cette fonction. Il faut dupliquer l'intégralité du monolithe, gaspillant ainsi des ressources processeur et mémoire substantielles.</w:t>
      </w:r>
    </w:p>
    <w:p>
      <w:pPr>
        <w:spacing w:before="0" w:after="80" w:line="276" w:lineRule="auto"/>
        <w:jc w:val="both"/>
      </w:pPr>
      <w:r>
        <w:rPr>
          <w:rFonts w:ascii="Calibri" w:hAnsi="Calibri"/>
          <w:b/>
          <w:color w:val="202428"/>
          <w:sz w:val="20"/>
        </w:rPr>
        <w:t xml:space="preserve">3. Cycle de vie et déploiements rigides : </w:t>
      </w:r>
      <w:r>
        <w:rPr>
          <w:rFonts w:ascii="Calibri" w:hAnsi="Calibri"/>
          <w:color w:val="2E343A"/>
          <w:sz w:val="20"/>
        </w:rPr>
        <w:t>La moindre modification d'une ligne de code (par exemple ajuster le format de date d'un événement) exige de recompiler, retester et redéployer la totalité de l'application avec un arrêt de service préjudiciable.</w:t>
      </w:r>
    </w:p>
    <w:tbl>
      <w:tblPr>
        <w:tblW w:type="auto" w:w="0"/>
        <w:jc w:val="center"/>
        <w:tblLayout w:type="fixed"/>
        <w:tblLook w:firstColumn="1" w:firstRow="1" w:lastColumn="0" w:lastRow="0" w:noHBand="0" w:noVBand="1" w:val="04A0"/>
      </w:tblPr>
      <w:tblGrid>
        <w:gridCol w:w="9648"/>
      </w:tblGrid>
      <w:tr>
        <w:tc>
          <w:tcPr>
            <w:tcW w:type="dxa" w:w="9360"/>
            <w:shd w:fill="FEF9E7"/>
            <w:tcBorders>
              <w:top w:val="none"/>
              <w:left w:val="single" w:sz="28" w:space="0" w:color="B35900"/>
              <w:bottom w:val="none"/>
              <w:right w:val="none"/>
            </w:tcBorders>
            <w:tcMar>
              <w:top w:w="140" w:type="dxa"/>
              <w:bottom w:w="140" w:type="dxa"/>
              <w:left w:w="220" w:type="dxa"/>
              <w:right w:w="180" w:type="dxa"/>
            </w:tcMar>
          </w:tcPr>
          <w:p>
            <w:pPr>
              <w:spacing w:before="40" w:after="40" w:line="276" w:lineRule="auto"/>
            </w:pPr>
            <w:r>
              <w:rPr>
                <w:rFonts w:ascii="Calibri" w:hAnsi="Calibri"/>
                <w:b/>
                <w:color w:val="B35900"/>
                <w:sz w:val="20"/>
              </w:rPr>
              <w:t xml:space="preserve">📌 NOTE D'INGÉNIERIE LOGICIELLE : </w:t>
            </w:r>
            <w:r>
              <w:rPr>
                <w:rFonts w:ascii="Calibri" w:hAnsi="Calibri"/>
                <w:i/>
                <w:color w:val="323C46"/>
                <w:sz w:val="19"/>
              </w:rPr>
              <w:t>La transition vers les microservices consiste à découper le système en services autonomes, chacun responsable d'un domaine métier précis (Bounded Context), disposant de son propre modèle de données, communicant par des protocoles légers (REST/JSON) et pouvant être déployé indépendamment.</w:t>
            </w:r>
          </w:p>
        </w:tc>
      </w:tr>
    </w:tbl>
    <w:p>
      <w:pPr>
        <w:spacing w:after="80"/>
      </w:pPr>
    </w:p>
    <w:p>
      <w:pPr>
        <w:keepNext/>
        <w:spacing w:before="240" w:after="80"/>
      </w:pPr>
      <w:r>
        <w:rPr>
          <w:rFonts w:ascii="Calibri" w:hAnsi="Calibri"/>
          <w:b/>
          <w:color w:val="B35900"/>
          <w:sz w:val="25"/>
        </w:rPr>
        <w:t>1.3 Objectifs d'Apprentissage et Articulation des 3 TP</w:t>
      </w:r>
    </w:p>
    <w:p>
      <w:pPr>
        <w:spacing w:before="0" w:after="80" w:line="276" w:lineRule="auto"/>
        <w:jc w:val="both"/>
      </w:pPr>
      <w:r>
        <w:rPr>
          <w:rFonts w:ascii="Calibri" w:hAnsi="Calibri"/>
          <w:color w:val="2E343A"/>
          <w:sz w:val="20"/>
        </w:rPr>
        <w:t>La progression pédagogique suivie tout au long de nos séances de travaux pratiques s'articule autour de trois jalons complémentaires :</w:t>
      </w:r>
    </w:p>
    <w:p>
      <w:pPr>
        <w:spacing w:before="0" w:after="80" w:line="276" w:lineRule="auto"/>
        <w:jc w:val="both"/>
      </w:pPr>
      <w:r>
        <w:rPr>
          <w:rFonts w:ascii="Calibri" w:hAnsi="Calibri"/>
          <w:b/>
          <w:color w:val="202428"/>
          <w:sz w:val="20"/>
        </w:rPr>
        <w:t xml:space="preserve">• Travail Pratique n°1 (Persistance &amp; ORM) : </w:t>
      </w:r>
      <w:r>
        <w:rPr>
          <w:rFonts w:ascii="Calibri" w:hAnsi="Calibri"/>
          <w:color w:val="2E343A"/>
          <w:sz w:val="20"/>
        </w:rPr>
        <w:t>Mettre en place la couche d'accès aux données avec Spring Data JPA au sein des entités métiers, éliminant les requêtes SQL natives verbeuses au profit des repositories managés et du mapping objet-relationnel Hibernate.</w:t>
      </w:r>
    </w:p>
    <w:p>
      <w:pPr>
        <w:spacing w:before="0" w:after="80" w:line="276" w:lineRule="auto"/>
        <w:jc w:val="both"/>
      </w:pPr>
      <w:r>
        <w:rPr>
          <w:rFonts w:ascii="Calibri" w:hAnsi="Calibri"/>
          <w:b/>
          <w:color w:val="202428"/>
          <w:sz w:val="20"/>
        </w:rPr>
        <w:t xml:space="preserve">• Travail Pratique n°2 (DTO, MapStruct &amp; OpenFeign) : </w:t>
      </w:r>
      <w:r>
        <w:rPr>
          <w:rFonts w:ascii="Calibri" w:hAnsi="Calibri"/>
          <w:color w:val="2E343A"/>
          <w:sz w:val="20"/>
        </w:rPr>
        <w:t>Mettre en œuvre le pattern DTO pour sécuriser et découpler les entités de base de données de l'API publique, automatiser les conversions à la compilation grâce à MapStruct, et établir une communication synchrone inter-services déclarative avec Spring Cloud OpenFeign sans créer de dépendances croisées.</w:t>
      </w:r>
    </w:p>
    <w:p>
      <w:pPr>
        <w:spacing w:before="0" w:after="80" w:line="276" w:lineRule="auto"/>
        <w:jc w:val="both"/>
      </w:pPr>
      <w:r>
        <w:rPr>
          <w:rFonts w:ascii="Calibri" w:hAnsi="Calibri"/>
          <w:b/>
          <w:color w:val="202428"/>
          <w:sz w:val="20"/>
        </w:rPr>
        <w:t xml:space="preserve">• Travail Pratique n°3 (Docker &amp; Déploiement Orchestré) : </w:t>
      </w:r>
      <w:r>
        <w:rPr>
          <w:rFonts w:ascii="Calibri" w:hAnsi="Calibri"/>
          <w:color w:val="2E343A"/>
          <w:sz w:val="20"/>
        </w:rPr>
        <w:t>Industrialiser le système en conteneurisant chaque microservice dans une image Docker dédiée (étiquetée 'collesyll/*:v1'), et orchestrer l'ensemble du cluster via Docker Compose avec intégration réseau transparente vers la base MySQL XAMPP de l'hôte.</w:t>
      </w:r>
    </w:p>
    <w:p>
      <w:r>
        <w:br w:type="page"/>
      </w:r>
    </w:p>
    <w:p>
      <w:pPr>
        <w:keepNext/>
        <w:spacing w:before="360" w:after="120"/>
      </w:pPr>
      <w:r>
        <w:rPr>
          <w:rFonts w:ascii="Calibri" w:hAnsi="Calibri"/>
          <w:b/>
          <w:color w:val="16382C"/>
          <w:sz w:val="29"/>
        </w:rPr>
        <w:t>II. DÉVELOPPEMENT TECHNIQUE &amp; IMPLÉMENTATION DES MICROSERVICES</w:t>
      </w:r>
    </w:p>
    <w:p>
      <w:pPr>
        <w:keepNext/>
        <w:spacing w:before="240" w:after="80"/>
      </w:pPr>
      <w:r>
        <w:rPr>
          <w:rFonts w:ascii="Calibri" w:hAnsi="Calibri"/>
          <w:b/>
          <w:color w:val="B35900"/>
          <w:sz w:val="25"/>
        </w:rPr>
        <w:t>2.1 Cartographie Architecturale de l'Écosystème Distribué</w:t>
      </w:r>
    </w:p>
    <w:p>
      <w:pPr>
        <w:spacing w:before="0" w:after="80" w:line="276" w:lineRule="auto"/>
        <w:jc w:val="both"/>
      </w:pPr>
      <w:r>
        <w:rPr>
          <w:rFonts w:ascii="Calibri" w:hAnsi="Calibri"/>
          <w:color w:val="2E343A"/>
          <w:sz w:val="20"/>
        </w:rPr>
        <w:t>L'architecture cible déploie 5 microservices autonomes conçus avec Spring Boot 3 et Java 21 LTS, chacun encapsulant son périmètre fonctionnel et ses propres endpoints :</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16382C"/>
            <w:tcMar>
              <w:top w:w="100" w:type="dxa"/>
              <w:bottom w:w="100" w:type="dxa"/>
              <w:left w:w="120" w:type="dxa"/>
              <w:right w:w="120" w:type="dxa"/>
            </w:tcMar>
          </w:tcPr>
          <w:p>
            <w:pPr>
              <w:spacing w:after="40"/>
            </w:pPr>
            <w:r>
              <w:rPr>
                <w:rFonts w:ascii="Calibri" w:hAnsi="Calibri"/>
                <w:b/>
                <w:color w:val="FFFFFF"/>
                <w:sz w:val="19"/>
              </w:rPr>
              <w:t>Microservice</w:t>
            </w:r>
          </w:p>
        </w:tc>
        <w:tc>
          <w:tcPr>
            <w:tcW w:type="dxa" w:w="1872"/>
            <w:shd w:fill="16382C"/>
            <w:tcMar>
              <w:top w:w="100" w:type="dxa"/>
              <w:bottom w:w="100" w:type="dxa"/>
              <w:left w:w="120" w:type="dxa"/>
              <w:right w:w="120" w:type="dxa"/>
            </w:tcMar>
          </w:tcPr>
          <w:p>
            <w:pPr>
              <w:spacing w:after="40"/>
            </w:pPr>
            <w:r>
              <w:rPr>
                <w:rFonts w:ascii="Calibri" w:hAnsi="Calibri"/>
                <w:b/>
                <w:color w:val="FFFFFF"/>
                <w:sz w:val="19"/>
              </w:rPr>
              <w:t>Port Hôte / Conteneur</w:t>
            </w:r>
          </w:p>
        </w:tc>
        <w:tc>
          <w:tcPr>
            <w:tcW w:type="dxa" w:w="2304"/>
            <w:shd w:fill="16382C"/>
            <w:tcMar>
              <w:top w:w="100" w:type="dxa"/>
              <w:bottom w:w="100" w:type="dxa"/>
              <w:left w:w="120" w:type="dxa"/>
              <w:right w:w="120" w:type="dxa"/>
            </w:tcMar>
          </w:tcPr>
          <w:p>
            <w:pPr>
              <w:spacing w:after="40"/>
            </w:pPr>
            <w:r>
              <w:rPr>
                <w:rFonts w:ascii="Calibri" w:hAnsi="Calibri"/>
                <w:b/>
                <w:color w:val="FFFFFF"/>
                <w:sz w:val="19"/>
              </w:rPr>
              <w:t>Image Docker</w:t>
            </w:r>
          </w:p>
        </w:tc>
        <w:tc>
          <w:tcPr>
            <w:tcW w:type="dxa" w:w="3024"/>
            <w:shd w:fill="16382C"/>
            <w:tcMar>
              <w:top w:w="100" w:type="dxa"/>
              <w:bottom w:w="100" w:type="dxa"/>
              <w:left w:w="120" w:type="dxa"/>
              <w:right w:w="120" w:type="dxa"/>
            </w:tcMar>
          </w:tcPr>
          <w:p>
            <w:pPr>
              <w:spacing w:after="40"/>
            </w:pPr>
            <w:r>
              <w:rPr>
                <w:rFonts w:ascii="Calibri" w:hAnsi="Calibri"/>
                <w:b/>
                <w:color w:val="FFFFFF"/>
                <w:sz w:val="19"/>
              </w:rPr>
              <w:t>Responsabilité Métier</w:t>
            </w:r>
          </w:p>
        </w:tc>
      </w:tr>
      <w:tr>
        <w:tc>
          <w:tcPr>
            <w:tcW w:type="dxa" w:w="2160"/>
            <w:tcMar>
              <w:top w:w="80" w:type="dxa"/>
              <w:bottom w:w="80" w:type="dxa"/>
              <w:left w:w="120" w:type="dxa"/>
              <w:right w:w="120" w:type="dxa"/>
            </w:tcMar>
          </w:tcPr>
          <w:p>
            <w:pPr>
              <w:spacing w:after="20"/>
            </w:pPr>
            <w:r>
              <w:rPr>
                <w:rFonts w:ascii="Calibri" w:hAnsi="Calibri"/>
                <w:b/>
                <w:color w:val="16382C"/>
                <w:sz w:val="18"/>
              </w:rPr>
              <w:t>ms-patrimoine</w:t>
            </w:r>
          </w:p>
        </w:tc>
        <w:tc>
          <w:tcPr>
            <w:tcW w:type="dxa" w:w="1872"/>
            <w:tcMar>
              <w:top w:w="80" w:type="dxa"/>
              <w:bottom w:w="80" w:type="dxa"/>
              <w:left w:w="120" w:type="dxa"/>
              <w:right w:w="120" w:type="dxa"/>
            </w:tcMar>
          </w:tcPr>
          <w:p>
            <w:pPr>
              <w:spacing w:after="20"/>
            </w:pPr>
            <w:r>
              <w:rPr>
                <w:rFonts w:ascii="Calibri" w:hAnsi="Calibri"/>
                <w:sz w:val="18"/>
              </w:rPr>
              <w:t>8081 / 3001</w:t>
            </w:r>
          </w:p>
        </w:tc>
        <w:tc>
          <w:tcPr>
            <w:tcW w:type="dxa" w:w="2304"/>
            <w:tcMar>
              <w:top w:w="80" w:type="dxa"/>
              <w:bottom w:w="80" w:type="dxa"/>
              <w:left w:w="120" w:type="dxa"/>
              <w:right w:w="120" w:type="dxa"/>
            </w:tcMar>
          </w:tcPr>
          <w:p>
            <w:pPr>
              <w:spacing w:after="20"/>
            </w:pPr>
            <w:r>
              <w:rPr>
                <w:rFonts w:ascii="Consolas" w:hAnsi="Consolas"/>
                <w:color w:val="B35900"/>
                <w:sz w:val="17"/>
              </w:rPr>
              <w:t>collesyll/patrimoines:v1</w:t>
            </w:r>
          </w:p>
        </w:tc>
        <w:tc>
          <w:tcPr>
            <w:tcW w:type="dxa" w:w="3024"/>
            <w:tcMar>
              <w:top w:w="80" w:type="dxa"/>
              <w:bottom w:w="80" w:type="dxa"/>
              <w:left w:w="120" w:type="dxa"/>
              <w:right w:w="120" w:type="dxa"/>
            </w:tcMar>
          </w:tcPr>
          <w:p>
            <w:pPr>
              <w:spacing w:after="20"/>
            </w:pPr>
            <w:r>
              <w:rPr>
                <w:rFonts w:ascii="Calibri" w:hAnsi="Calibri"/>
                <w:sz w:val="18"/>
              </w:rPr>
              <w:t>Gestion CRUD des patrimoines, sites culturels et géolocalisation.</w:t>
            </w:r>
          </w:p>
        </w:tc>
      </w:tr>
      <w:tr>
        <w:tc>
          <w:tcPr>
            <w:tcW w:type="dxa" w:w="2160"/>
            <w:shd w:fill="F9FBFA"/>
            <w:tcMar>
              <w:top w:w="80" w:type="dxa"/>
              <w:bottom w:w="80" w:type="dxa"/>
              <w:left w:w="120" w:type="dxa"/>
              <w:right w:w="120" w:type="dxa"/>
            </w:tcMar>
          </w:tcPr>
          <w:p>
            <w:pPr>
              <w:spacing w:after="20"/>
            </w:pPr>
            <w:r>
              <w:rPr>
                <w:rFonts w:ascii="Calibri" w:hAnsi="Calibri"/>
                <w:b/>
                <w:color w:val="16382C"/>
                <w:sz w:val="18"/>
              </w:rPr>
              <w:t>ms-circuit</w:t>
            </w:r>
          </w:p>
        </w:tc>
        <w:tc>
          <w:tcPr>
            <w:tcW w:type="dxa" w:w="1872"/>
            <w:shd w:fill="F9FBFA"/>
            <w:tcMar>
              <w:top w:w="80" w:type="dxa"/>
              <w:bottom w:w="80" w:type="dxa"/>
              <w:left w:w="120" w:type="dxa"/>
              <w:right w:w="120" w:type="dxa"/>
            </w:tcMar>
          </w:tcPr>
          <w:p>
            <w:pPr>
              <w:spacing w:after="20"/>
            </w:pPr>
            <w:r>
              <w:rPr>
                <w:rFonts w:ascii="Calibri" w:hAnsi="Calibri"/>
                <w:sz w:val="18"/>
              </w:rPr>
              <w:t>8082 / 3002</w:t>
            </w:r>
          </w:p>
        </w:tc>
        <w:tc>
          <w:tcPr>
            <w:tcW w:type="dxa" w:w="2304"/>
            <w:shd w:fill="F9FBFA"/>
            <w:tcMar>
              <w:top w:w="80" w:type="dxa"/>
              <w:bottom w:w="80" w:type="dxa"/>
              <w:left w:w="120" w:type="dxa"/>
              <w:right w:w="120" w:type="dxa"/>
            </w:tcMar>
          </w:tcPr>
          <w:p>
            <w:pPr>
              <w:spacing w:after="20"/>
            </w:pPr>
            <w:r>
              <w:rPr>
                <w:rFonts w:ascii="Consolas" w:hAnsi="Consolas"/>
                <w:color w:val="B35900"/>
                <w:sz w:val="17"/>
              </w:rPr>
              <w:t>collesyll/circuits:v1</w:t>
            </w:r>
          </w:p>
        </w:tc>
        <w:tc>
          <w:tcPr>
            <w:tcW w:type="dxa" w:w="3024"/>
            <w:shd w:fill="F9FBFA"/>
            <w:tcMar>
              <w:top w:w="80" w:type="dxa"/>
              <w:bottom w:w="80" w:type="dxa"/>
              <w:left w:w="120" w:type="dxa"/>
              <w:right w:w="120" w:type="dxa"/>
            </w:tcMar>
          </w:tcPr>
          <w:p>
            <w:pPr>
              <w:spacing w:after="20"/>
            </w:pPr>
            <w:r>
              <w:rPr>
                <w:rFonts w:ascii="Calibri" w:hAnsi="Calibri"/>
                <w:sz w:val="18"/>
              </w:rPr>
              <w:t>Gestion des circuits, des étapes et enrichissement OpenFeign.</w:t>
            </w:r>
          </w:p>
        </w:tc>
      </w:tr>
      <w:tr>
        <w:tc>
          <w:tcPr>
            <w:tcW w:type="dxa" w:w="2160"/>
            <w:tcMar>
              <w:top w:w="80" w:type="dxa"/>
              <w:bottom w:w="80" w:type="dxa"/>
              <w:left w:w="120" w:type="dxa"/>
              <w:right w:w="120" w:type="dxa"/>
            </w:tcMar>
          </w:tcPr>
          <w:p>
            <w:pPr>
              <w:spacing w:after="20"/>
            </w:pPr>
            <w:r>
              <w:rPr>
                <w:rFonts w:ascii="Calibri" w:hAnsi="Calibri"/>
                <w:b/>
                <w:color w:val="16382C"/>
                <w:sz w:val="18"/>
              </w:rPr>
              <w:t>ms-evenement</w:t>
            </w:r>
          </w:p>
        </w:tc>
        <w:tc>
          <w:tcPr>
            <w:tcW w:type="dxa" w:w="1872"/>
            <w:tcMar>
              <w:top w:w="80" w:type="dxa"/>
              <w:bottom w:w="80" w:type="dxa"/>
              <w:left w:w="120" w:type="dxa"/>
              <w:right w:w="120" w:type="dxa"/>
            </w:tcMar>
          </w:tcPr>
          <w:p>
            <w:pPr>
              <w:spacing w:after="20"/>
            </w:pPr>
            <w:r>
              <w:rPr>
                <w:rFonts w:ascii="Calibri" w:hAnsi="Calibri"/>
                <w:sz w:val="18"/>
              </w:rPr>
              <w:t>8083 / 3003</w:t>
            </w:r>
          </w:p>
        </w:tc>
        <w:tc>
          <w:tcPr>
            <w:tcW w:type="dxa" w:w="2304"/>
            <w:tcMar>
              <w:top w:w="80" w:type="dxa"/>
              <w:bottom w:w="80" w:type="dxa"/>
              <w:left w:w="120" w:type="dxa"/>
              <w:right w:w="120" w:type="dxa"/>
            </w:tcMar>
          </w:tcPr>
          <w:p>
            <w:pPr>
              <w:spacing w:after="20"/>
            </w:pPr>
            <w:r>
              <w:rPr>
                <w:rFonts w:ascii="Consolas" w:hAnsi="Consolas"/>
                <w:color w:val="B35900"/>
                <w:sz w:val="17"/>
              </w:rPr>
              <w:t>collesyll/evenements:v1</w:t>
            </w:r>
          </w:p>
        </w:tc>
        <w:tc>
          <w:tcPr>
            <w:tcW w:type="dxa" w:w="3024"/>
            <w:tcMar>
              <w:top w:w="80" w:type="dxa"/>
              <w:bottom w:w="80" w:type="dxa"/>
              <w:left w:w="120" w:type="dxa"/>
              <w:right w:w="120" w:type="dxa"/>
            </w:tcMar>
          </w:tcPr>
          <w:p>
            <w:pPr>
              <w:spacing w:after="20"/>
            </w:pPr>
            <w:r>
              <w:rPr>
                <w:rFonts w:ascii="Calibri" w:hAnsi="Calibri"/>
                <w:sz w:val="18"/>
              </w:rPr>
              <w:t>Gestion des manifestations, dates et festivités régionales.</w:t>
            </w:r>
          </w:p>
        </w:tc>
      </w:tr>
      <w:tr>
        <w:tc>
          <w:tcPr>
            <w:tcW w:type="dxa" w:w="2160"/>
            <w:shd w:fill="F9FBFA"/>
            <w:tcMar>
              <w:top w:w="80" w:type="dxa"/>
              <w:bottom w:w="80" w:type="dxa"/>
              <w:left w:w="120" w:type="dxa"/>
              <w:right w:w="120" w:type="dxa"/>
            </w:tcMar>
          </w:tcPr>
          <w:p>
            <w:pPr>
              <w:spacing w:after="20"/>
            </w:pPr>
            <w:r>
              <w:rPr>
                <w:rFonts w:ascii="Calibri" w:hAnsi="Calibri"/>
                <w:b/>
                <w:color w:val="16382C"/>
                <w:sz w:val="18"/>
              </w:rPr>
              <w:t>ms-reservation</w:t>
            </w:r>
          </w:p>
        </w:tc>
        <w:tc>
          <w:tcPr>
            <w:tcW w:type="dxa" w:w="1872"/>
            <w:shd w:fill="F9FBFA"/>
            <w:tcMar>
              <w:top w:w="80" w:type="dxa"/>
              <w:bottom w:w="80" w:type="dxa"/>
              <w:left w:w="120" w:type="dxa"/>
              <w:right w:w="120" w:type="dxa"/>
            </w:tcMar>
          </w:tcPr>
          <w:p>
            <w:pPr>
              <w:spacing w:after="20"/>
            </w:pPr>
            <w:r>
              <w:rPr>
                <w:rFonts w:ascii="Calibri" w:hAnsi="Calibri"/>
                <w:sz w:val="18"/>
              </w:rPr>
              <w:t>8084 / 3004</w:t>
            </w:r>
          </w:p>
        </w:tc>
        <w:tc>
          <w:tcPr>
            <w:tcW w:type="dxa" w:w="2304"/>
            <w:shd w:fill="F9FBFA"/>
            <w:tcMar>
              <w:top w:w="80" w:type="dxa"/>
              <w:bottom w:w="80" w:type="dxa"/>
              <w:left w:w="120" w:type="dxa"/>
              <w:right w:w="120" w:type="dxa"/>
            </w:tcMar>
          </w:tcPr>
          <w:p>
            <w:pPr>
              <w:spacing w:after="20"/>
            </w:pPr>
            <w:r>
              <w:rPr>
                <w:rFonts w:ascii="Consolas" w:hAnsi="Consolas"/>
                <w:color w:val="B35900"/>
                <w:sz w:val="17"/>
              </w:rPr>
              <w:t>collesyll/reservations:v1</w:t>
            </w:r>
          </w:p>
        </w:tc>
        <w:tc>
          <w:tcPr>
            <w:tcW w:type="dxa" w:w="3024"/>
            <w:shd w:fill="F9FBFA"/>
            <w:tcMar>
              <w:top w:w="80" w:type="dxa"/>
              <w:bottom w:w="80" w:type="dxa"/>
              <w:left w:w="120" w:type="dxa"/>
              <w:right w:w="120" w:type="dxa"/>
            </w:tcMar>
          </w:tcPr>
          <w:p>
            <w:pPr>
              <w:spacing w:after="20"/>
            </w:pPr>
            <w:r>
              <w:rPr>
                <w:rFonts w:ascii="Calibri" w:hAnsi="Calibri"/>
                <w:sz w:val="18"/>
              </w:rPr>
              <w:t>Gestion des réservations touristiques et suivi des demandes.</w:t>
            </w:r>
          </w:p>
        </w:tc>
      </w:tr>
      <w:tr>
        <w:tc>
          <w:tcPr>
            <w:tcW w:type="dxa" w:w="2160"/>
            <w:tcMar>
              <w:top w:w="80" w:type="dxa"/>
              <w:bottom w:w="80" w:type="dxa"/>
              <w:left w:w="120" w:type="dxa"/>
              <w:right w:w="120" w:type="dxa"/>
            </w:tcMar>
          </w:tcPr>
          <w:p>
            <w:pPr>
              <w:spacing w:after="20"/>
            </w:pPr>
            <w:r>
              <w:rPr>
                <w:rFonts w:ascii="Calibri" w:hAnsi="Calibri"/>
                <w:b/>
                <w:color w:val="16382C"/>
                <w:sz w:val="18"/>
              </w:rPr>
              <w:t>patrimoine-touristique-web</w:t>
            </w:r>
          </w:p>
        </w:tc>
        <w:tc>
          <w:tcPr>
            <w:tcW w:type="dxa" w:w="1872"/>
            <w:tcMar>
              <w:top w:w="80" w:type="dxa"/>
              <w:bottom w:w="80" w:type="dxa"/>
              <w:left w:w="120" w:type="dxa"/>
              <w:right w:w="120" w:type="dxa"/>
            </w:tcMar>
          </w:tcPr>
          <w:p>
            <w:pPr>
              <w:spacing w:after="20"/>
            </w:pPr>
            <w:r>
              <w:rPr>
                <w:rFonts w:ascii="Calibri" w:hAnsi="Calibri"/>
                <w:sz w:val="18"/>
              </w:rPr>
              <w:t>8080 / 8080</w:t>
            </w:r>
          </w:p>
        </w:tc>
        <w:tc>
          <w:tcPr>
            <w:tcW w:type="dxa" w:w="2304"/>
            <w:tcMar>
              <w:top w:w="80" w:type="dxa"/>
              <w:bottom w:w="80" w:type="dxa"/>
              <w:left w:w="120" w:type="dxa"/>
              <w:right w:w="120" w:type="dxa"/>
            </w:tcMar>
          </w:tcPr>
          <w:p>
            <w:pPr>
              <w:spacing w:after="20"/>
            </w:pPr>
            <w:r>
              <w:rPr>
                <w:rFonts w:ascii="Consolas" w:hAnsi="Consolas"/>
                <w:color w:val="B35900"/>
                <w:sz w:val="17"/>
              </w:rPr>
              <w:t>collesyll/patrimoine-web:v1</w:t>
            </w:r>
          </w:p>
        </w:tc>
        <w:tc>
          <w:tcPr>
            <w:tcW w:type="dxa" w:w="3024"/>
            <w:tcMar>
              <w:top w:w="80" w:type="dxa"/>
              <w:bottom w:w="80" w:type="dxa"/>
              <w:left w:w="120" w:type="dxa"/>
              <w:right w:w="120" w:type="dxa"/>
            </w:tcMar>
          </w:tcPr>
          <w:p>
            <w:pPr>
              <w:spacing w:after="20"/>
            </w:pPr>
            <w:r>
              <w:rPr>
                <w:rFonts w:ascii="Calibri" w:hAnsi="Calibri"/>
                <w:sz w:val="18"/>
              </w:rPr>
              <w:t>Portail Web frontend (Thymeleaf/Bootstrap) pour les usagers.</w:t>
            </w:r>
          </w:p>
        </w:tc>
      </w:tr>
    </w:tbl>
    <w:p>
      <w:pPr>
        <w:spacing w:after="160"/>
      </w:pPr>
    </w:p>
    <w:p>
      <w:pPr>
        <w:keepNext/>
        <w:spacing w:before="240" w:after="80"/>
      </w:pPr>
      <w:r>
        <w:rPr>
          <w:rFonts w:ascii="Calibri" w:hAnsi="Calibri"/>
          <w:b/>
          <w:color w:val="B35900"/>
          <w:sz w:val="25"/>
        </w:rPr>
        <w:t>2.2 TP 1 : Couche de Persistance Avancée avec Spring Data JPA</w:t>
      </w:r>
    </w:p>
    <w:p>
      <w:pPr>
        <w:spacing w:before="0" w:after="80" w:line="276" w:lineRule="auto"/>
        <w:jc w:val="both"/>
      </w:pPr>
      <w:r>
        <w:rPr>
          <w:rFonts w:ascii="Calibri" w:hAnsi="Calibri"/>
          <w:color w:val="2E343A"/>
          <w:sz w:val="20"/>
        </w:rPr>
        <w:t>Le Travail Pratique n°1 a posé les fondations du stockage relationnel. Plutôt que d'écrire des requêtes SQL bas niveau susceptibles d'introduire des failles d'injection et de briser la portabilité, nous avons utilisé Spring Data JPA reposant sur l'ORM Hibernate.</w:t>
      </w:r>
    </w:p>
    <w:p>
      <w:pPr>
        <w:spacing w:before="0" w:after="80" w:line="276" w:lineRule="auto"/>
        <w:jc w:val="both"/>
      </w:pPr>
      <w:r>
        <w:rPr>
          <w:rFonts w:ascii="Calibri" w:hAnsi="Calibri"/>
          <w:color w:val="2E343A"/>
          <w:sz w:val="20"/>
        </w:rPr>
        <w:t>L'entité centrale 'Patrimoine' du microservice 'ms-patrimoine' illustre le mapping relationnel avec les annotations JPA Jakarta et les annotations Lombok (@Data, @NoArgsConstructor, @AllArgsConstructor, @Builder) réduisant drastiquement le code boilerplate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ms-patrimoine/.../model/Patrimoine.java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sn.zig.patrimoine.model;</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jakarta.persistence.*;</w:t>
            </w:r>
          </w:p>
          <w:p>
            <w:pPr>
              <w:spacing w:before="0" w:after="0" w:line="252" w:lineRule="auto"/>
            </w:pPr>
            <w:r>
              <w:rPr>
                <w:rFonts w:ascii="Consolas" w:hAnsi="Consolas"/>
                <w:color w:val="003366"/>
                <w:sz w:val="17"/>
              </w:rPr>
              <w:t>import lombok.*;</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Entité JPA Patrimoine du microservice ms-patrimoine (TP1 &amp; TP2 Dr Lamine FATY).</w:t>
            </w:r>
          </w:p>
          <w:p>
            <w:pPr>
              <w:spacing w:before="0" w:after="0" w:line="252" w:lineRule="auto"/>
            </w:pPr>
            <w:r>
              <w:rPr>
                <w:rFonts w:ascii="Consolas" w:hAnsi="Consolas"/>
                <w:i/>
                <w:color w:val="008000"/>
                <w:sz w:val="17"/>
              </w:rPr>
              <w:t xml:space="preserve"> * Modèle relationnel mappé avec la table 'patrimoines'.</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@Data</w:t>
            </w:r>
          </w:p>
          <w:p>
            <w:pPr>
              <w:spacing w:before="0" w:after="0" w:line="252" w:lineRule="auto"/>
            </w:pPr>
            <w:r>
              <w:rPr>
                <w:rFonts w:ascii="Consolas" w:hAnsi="Consolas"/>
                <w:b/>
                <w:color w:val="2B669A"/>
                <w:sz w:val="17"/>
              </w:rPr>
              <w:t>@NoArgsConstructor</w:t>
            </w:r>
          </w:p>
          <w:p>
            <w:pPr>
              <w:spacing w:before="0" w:after="0" w:line="252" w:lineRule="auto"/>
            </w:pPr>
            <w:r>
              <w:rPr>
                <w:rFonts w:ascii="Consolas" w:hAnsi="Consolas"/>
                <w:b/>
                <w:color w:val="2B669A"/>
                <w:sz w:val="17"/>
              </w:rPr>
              <w:t>@AllArgsConstructor</w:t>
            </w:r>
          </w:p>
          <w:p>
            <w:pPr>
              <w:spacing w:before="0" w:after="0" w:line="252" w:lineRule="auto"/>
            </w:pPr>
            <w:r>
              <w:rPr>
                <w:rFonts w:ascii="Consolas" w:hAnsi="Consolas"/>
                <w:b/>
                <w:color w:val="2B669A"/>
                <w:sz w:val="17"/>
              </w:rPr>
              <w:t>@Builder</w:t>
            </w:r>
          </w:p>
          <w:p>
            <w:pPr>
              <w:spacing w:before="0" w:after="0" w:line="252" w:lineRule="auto"/>
            </w:pPr>
            <w:r>
              <w:rPr>
                <w:rFonts w:ascii="Consolas" w:hAnsi="Consolas"/>
                <w:b/>
                <w:color w:val="2B669A"/>
                <w:sz w:val="17"/>
              </w:rPr>
              <w:t>@Entity</w:t>
            </w:r>
          </w:p>
          <w:p>
            <w:pPr>
              <w:spacing w:before="0" w:after="0" w:line="252" w:lineRule="auto"/>
            </w:pPr>
            <w:r>
              <w:rPr>
                <w:rFonts w:ascii="Consolas" w:hAnsi="Consolas"/>
                <w:b/>
                <w:color w:val="2B669A"/>
                <w:sz w:val="17"/>
              </w:rPr>
              <w:t>@Table(name = "patrimoines")</w:t>
            </w:r>
          </w:p>
          <w:p>
            <w:pPr>
              <w:spacing w:before="0" w:after="0" w:line="252" w:lineRule="auto"/>
            </w:pPr>
            <w:r>
              <w:rPr>
                <w:rFonts w:ascii="Consolas" w:hAnsi="Consolas"/>
                <w:color w:val="003366"/>
                <w:sz w:val="17"/>
              </w:rPr>
              <w:t>public class Patrimoine {</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@Id</w:t>
            </w:r>
          </w:p>
          <w:p>
            <w:pPr>
              <w:spacing w:before="0" w:after="0" w:line="252" w:lineRule="auto"/>
            </w:pPr>
            <w:r>
              <w:rPr>
                <w:rFonts w:ascii="Consolas" w:hAnsi="Consolas"/>
                <w:b/>
                <w:color w:val="2B669A"/>
                <w:sz w:val="17"/>
              </w:rPr>
              <w:t xml:space="preserve">    @GeneratedValue(strategy = GenerationType.IDENTITY)</w:t>
            </w:r>
          </w:p>
          <w:p>
            <w:pPr>
              <w:spacing w:before="0" w:after="0" w:line="252" w:lineRule="auto"/>
            </w:pPr>
            <w:r>
              <w:rPr>
                <w:rFonts w:ascii="Consolas" w:hAnsi="Consolas"/>
                <w:color w:val="003366"/>
                <w:sz w:val="17"/>
              </w:rPr>
              <w:t xml:space="preserve">    private Long id;</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"code")</w:t>
            </w:r>
          </w:p>
          <w:p>
            <w:pPr>
              <w:spacing w:before="0" w:after="0" w:line="252" w:lineRule="auto"/>
            </w:pPr>
            <w:r>
              <w:rPr>
                <w:rFonts w:ascii="Consolas" w:hAnsi="Consolas"/>
                <w:color w:val="003366"/>
                <w:sz w:val="17"/>
              </w:rPr>
              <w:t xml:space="preserve">    private String codePatrimoine;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"nom", nullable = false)</w:t>
            </w:r>
          </w:p>
          <w:p>
            <w:pPr>
              <w:spacing w:before="0" w:after="0" w:line="252" w:lineRule="auto"/>
            </w:pPr>
            <w:r>
              <w:rPr>
                <w:rFonts w:ascii="Consolas" w:hAnsi="Consolas"/>
                <w:color w:val="003366"/>
                <w:sz w:val="17"/>
              </w:rPr>
              <w:t xml:space="preserve">    private String nomPatrimoine;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@Lob</w:t>
            </w:r>
          </w:p>
          <w:p>
            <w:pPr>
              <w:spacing w:before="0" w:after="0" w:line="252" w:lineRule="auto"/>
            </w:pPr>
            <w:r>
              <w:rPr>
                <w:rFonts w:ascii="Consolas" w:hAnsi="Consolas"/>
                <w:b/>
                <w:color w:val="2B669A"/>
                <w:sz w:val="17"/>
              </w:rPr>
              <w:t xml:space="preserve">    @Column(name = "description", columnDefinition = "TEXT")</w:t>
            </w:r>
          </w:p>
          <w:p>
            <w:pPr>
              <w:spacing w:before="0" w:after="0" w:line="252" w:lineRule="auto"/>
            </w:pPr>
            <w:r>
              <w:rPr>
                <w:rFonts w:ascii="Consolas" w:hAnsi="Consolas"/>
                <w:color w:val="003366"/>
                <w:sz w:val="17"/>
              </w:rPr>
              <w:t xml:space="preserve">    private String descriptionPatrimoine;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@Lob</w:t>
            </w:r>
          </w:p>
          <w:p>
            <w:pPr>
              <w:spacing w:before="0" w:after="0" w:line="252" w:lineRule="auto"/>
            </w:pPr>
            <w:r>
              <w:rPr>
                <w:rFonts w:ascii="Consolas" w:hAnsi="Consolas"/>
                <w:b/>
                <w:color w:val="2B669A"/>
                <w:sz w:val="17"/>
              </w:rPr>
              <w:t xml:space="preserve">    @Column(name = "historique", columnDefinition = "TEXT")</w:t>
            </w:r>
          </w:p>
          <w:p>
            <w:pPr>
              <w:spacing w:before="0" w:after="0" w:line="252" w:lineRule="auto"/>
            </w:pPr>
            <w:r>
              <w:rPr>
                <w:rFonts w:ascii="Consolas" w:hAnsi="Consolas"/>
                <w:color w:val="003366"/>
                <w:sz w:val="17"/>
              </w:rPr>
              <w:t xml:space="preserve">    private String historiquePatrimoine;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"adresse")</w:t>
            </w:r>
          </w:p>
          <w:p>
            <w:pPr>
              <w:spacing w:before="0" w:after="0" w:line="252" w:lineRule="auto"/>
            </w:pPr>
            <w:r>
              <w:rPr>
                <w:rFonts w:ascii="Consolas" w:hAnsi="Consolas"/>
                <w:color w:val="003366"/>
                <w:sz w:val="17"/>
              </w:rPr>
              <w:t xml:space="preserve">    private String adressePatrimoine;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"capacite")</w:t>
            </w:r>
          </w:p>
          <w:p>
            <w:pPr>
              <w:spacing w:before="0" w:after="0" w:line="252" w:lineRule="auto"/>
            </w:pPr>
            <w:r>
              <w:rPr>
                <w:rFonts w:ascii="Consolas" w:hAnsi="Consolas"/>
                <w:color w:val="003366"/>
                <w:sz w:val="17"/>
              </w:rPr>
              <w:t xml:space="preserve">    private int capacitePatrimoine;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"latitude")</w:t>
            </w:r>
          </w:p>
          <w:p>
            <w:pPr>
              <w:spacing w:before="0" w:after="0" w:line="252" w:lineRule="auto"/>
            </w:pPr>
            <w:r>
              <w:rPr>
                <w:rFonts w:ascii="Consolas" w:hAnsi="Consolas"/>
                <w:color w:val="003366"/>
                <w:sz w:val="17"/>
              </w:rPr>
              <w:t xml:space="preserve">    private Double latitudePatrimoine;</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@Column(name = "longitude")</w:t>
            </w:r>
          </w:p>
          <w:p>
            <w:pPr>
              <w:spacing w:before="0" w:after="0" w:line="252" w:lineRule="auto"/>
            </w:pPr>
            <w:r>
              <w:rPr>
                <w:rFonts w:ascii="Consolas" w:hAnsi="Consolas"/>
                <w:color w:val="003366"/>
                <w:sz w:val="17"/>
              </w:rPr>
              <w:t xml:space="preserve">    private Double longitudePatrimoine;</w:t>
            </w:r>
          </w:p>
          <w:p>
            <w:pPr>
              <w:spacing w:before="0" w:after="0" w:line="252" w:lineRule="auto"/>
            </w:pPr>
            <w:r>
              <w:rPr>
                <w:rFonts w:ascii="Consolas" w:hAnsi="Consolas"/>
                <w:color w:val="24292E"/>
                <w:sz w:val="17"/>
              </w:rPr>
              <w:t>}</w:t>
            </w:r>
          </w:p>
        </w:tc>
      </w:tr>
    </w:tbl>
    <w:p>
      <w:pPr>
        <w:spacing w:after="120"/>
      </w:pPr>
    </w:p>
    <w:p>
      <w:pPr>
        <w:spacing w:before="0" w:after="80" w:line="276" w:lineRule="auto"/>
        <w:jc w:val="both"/>
      </w:pPr>
      <w:r>
        <w:rPr>
          <w:rFonts w:ascii="Calibri" w:hAnsi="Calibri"/>
          <w:color w:val="2E343A"/>
          <w:sz w:val="20"/>
        </w:rPr>
        <w:t>Pour interagir avec la table 'patrimoines', l'interface 'PatrimoineRepository' étend 'JpaRepository&lt;Patrimoine, Long&gt;'. Conformément au Slide 16 du cours de Dr Lamine FATY, cette déclaration confère immédiatement toutes les opérations CRUD standard (save, findById, findAll, deleteById, count) sans rédiger la moindre ligne d'implémentation SQL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ms-patrimoine/.../repository/PatrimoineRepository.java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sn.zig.patrimoine.repository;</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org.springframework.data.jpa.repository.JpaRepository;</w:t>
            </w:r>
          </w:p>
          <w:p>
            <w:pPr>
              <w:spacing w:before="0" w:after="0" w:line="252" w:lineRule="auto"/>
            </w:pPr>
            <w:r>
              <w:rPr>
                <w:rFonts w:ascii="Consolas" w:hAnsi="Consolas"/>
                <w:color w:val="003366"/>
                <w:sz w:val="17"/>
              </w:rPr>
              <w:t>import org.springframework.stereotype.Repository;</w:t>
            </w:r>
          </w:p>
          <w:p>
            <w:pPr>
              <w:spacing w:before="0" w:after="0" w:line="252" w:lineRule="auto"/>
            </w:pPr>
            <w:r>
              <w:rPr>
                <w:rFonts w:ascii="Consolas" w:hAnsi="Consolas"/>
                <w:color w:val="003366"/>
                <w:sz w:val="17"/>
              </w:rPr>
              <w:t>import sn.zig.patrimoine.model.Patrimoine;</w:t>
            </w:r>
          </w:p>
          <w:p>
            <w:pPr>
              <w:spacing w:before="0" w:after="0" w:line="252" w:lineRule="auto"/>
            </w:pPr>
            <w:r>
              <w:rPr>
                <w:rFonts w:ascii="Consolas" w:hAnsi="Consolas"/>
                <w:color w:val="003366"/>
                <w:sz w:val="17"/>
              </w:rPr>
              <w:t>import java.util.Optional;</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Interface Repository JPA pour ms-patrimoine (Slide 16 du TP1).</w:t>
            </w:r>
          </w:p>
          <w:p>
            <w:pPr>
              <w:spacing w:before="0" w:after="0" w:line="252" w:lineRule="auto"/>
            </w:pPr>
            <w:r>
              <w:rPr>
                <w:rFonts w:ascii="Consolas" w:hAnsi="Consolas"/>
                <w:i/>
                <w:color w:val="008000"/>
                <w:sz w:val="17"/>
              </w:rPr>
              <w:t xml:space="preserve"> * Fournit les opérations CRUD et requêtes dérivées managées par Hibernate.</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@Repository</w:t>
            </w:r>
          </w:p>
          <w:p>
            <w:pPr>
              <w:spacing w:before="0" w:after="0" w:line="252" w:lineRule="auto"/>
            </w:pPr>
            <w:r>
              <w:rPr>
                <w:rFonts w:ascii="Consolas" w:hAnsi="Consolas"/>
                <w:color w:val="003366"/>
                <w:sz w:val="17"/>
              </w:rPr>
              <w:t>public interface PatrimoineRepository extends JpaRepository&lt;Patrimoine, Long&gt;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Méthode dérivée générée automatiquement par Spring Data JPA</w:t>
            </w:r>
          </w:p>
          <w:p>
            <w:pPr>
              <w:spacing w:before="0" w:after="0" w:line="252" w:lineRule="auto"/>
            </w:pPr>
            <w:r>
              <w:rPr>
                <w:rFonts w:ascii="Consolas" w:hAnsi="Consolas"/>
                <w:color w:val="24292E"/>
                <w:sz w:val="17"/>
              </w:rPr>
              <w:t xml:space="preserve">    Optional&lt;Patrimoine&gt; findByCodePatrimoine(String codePatrimoine);</w:t>
            </w:r>
          </w:p>
          <w:p>
            <w:pPr>
              <w:spacing w:before="0" w:after="0" w:line="252" w:lineRule="auto"/>
            </w:pPr>
            <w:r>
              <w:rPr>
                <w:rFonts w:ascii="Consolas" w:hAnsi="Consolas"/>
                <w:color w:val="24292E"/>
                <w:sz w:val="17"/>
              </w:rPr>
              <w:t>}</w:t>
            </w:r>
          </w:p>
        </w:tc>
      </w:tr>
    </w:tbl>
    <w:p>
      <w:pPr>
        <w:spacing w:after="120"/>
      </w:pPr>
    </w:p>
    <w:p>
      <w:pPr>
        <w:keepNext/>
        <w:spacing w:before="240" w:after="80"/>
      </w:pPr>
      <w:r>
        <w:rPr>
          <w:rFonts w:ascii="Calibri" w:hAnsi="Calibri"/>
          <w:b/>
          <w:color w:val="B35900"/>
          <w:sz w:val="25"/>
        </w:rPr>
        <w:t>2.3 TP 2 : Isolation par DTO, Génération MapStruct &amp; Communication OpenFeign</w:t>
      </w:r>
    </w:p>
    <w:p>
      <w:pPr>
        <w:keepNext/>
        <w:spacing w:before="160" w:after="60"/>
      </w:pPr>
      <w:r>
        <w:rPr>
          <w:rFonts w:ascii="Calibri" w:hAnsi="Calibri"/>
          <w:b/>
          <w:color w:val="1E3A8A"/>
          <w:sz w:val="22"/>
        </w:rPr>
        <w:t>A. Le Pattern DTO (Data Transfer Object) — Slide 7</w:t>
      </w:r>
    </w:p>
    <w:p>
      <w:pPr>
        <w:spacing w:before="0" w:after="80" w:line="276" w:lineRule="auto"/>
        <w:jc w:val="both"/>
      </w:pPr>
      <w:r>
        <w:rPr>
          <w:rFonts w:ascii="Calibri" w:hAnsi="Calibri"/>
          <w:color w:val="2E343A"/>
          <w:sz w:val="20"/>
        </w:rPr>
        <w:t>Dans une architecture orientée services propre, exposer directement les entités JPA (@Entity) aux clients externes via les API REST constitue une grave violation des bonnes pratiques de génie logiciel :</w:t>
      </w:r>
    </w:p>
    <w:p>
      <w:pPr>
        <w:spacing w:before="0" w:after="80" w:line="276" w:lineRule="auto"/>
        <w:jc w:val="both"/>
      </w:pPr>
      <w:r>
        <w:rPr>
          <w:rFonts w:ascii="Calibri" w:hAnsi="Calibri"/>
          <w:b/>
          <w:color w:val="202428"/>
          <w:sz w:val="20"/>
        </w:rPr>
        <w:t xml:space="preserve">1. Couplage fort entre persistance et exposition : </w:t>
      </w:r>
      <w:r>
        <w:rPr>
          <w:rFonts w:ascii="Calibri" w:hAnsi="Calibri"/>
          <w:color w:val="2E343A"/>
          <w:sz w:val="20"/>
        </w:rPr>
        <w:t>Une modification de structure de base de données (ajout ou renommage d'une colonne) casse immédiatement tous les clients consommateurs si l'entité est exposée sans filtre.</w:t>
      </w:r>
    </w:p>
    <w:p>
      <w:pPr>
        <w:spacing w:before="0" w:after="80" w:line="276" w:lineRule="auto"/>
        <w:jc w:val="both"/>
      </w:pPr>
      <w:r>
        <w:rPr>
          <w:rFonts w:ascii="Calibri" w:hAnsi="Calibri"/>
          <w:b/>
          <w:color w:val="202428"/>
          <w:sz w:val="20"/>
        </w:rPr>
        <w:t xml:space="preserve">2. Vulnérabilité de sécurité : </w:t>
      </w:r>
      <w:r>
        <w:rPr>
          <w:rFonts w:ascii="Calibri" w:hAnsi="Calibri"/>
          <w:color w:val="2E343A"/>
          <w:sz w:val="20"/>
        </w:rPr>
        <w:t>L'exposition directe risque de divulguer des attributs confidentiels ou des identifiants internes non pertinents pour l'utilisateur final.</w:t>
      </w:r>
    </w:p>
    <w:p>
      <w:pPr>
        <w:spacing w:before="0" w:after="80" w:line="276" w:lineRule="auto"/>
        <w:jc w:val="both"/>
      </w:pPr>
      <w:r>
        <w:rPr>
          <w:rFonts w:ascii="Calibri" w:hAnsi="Calibri"/>
          <w:b/>
          <w:color w:val="202428"/>
          <w:sz w:val="20"/>
        </w:rPr>
        <w:t xml:space="preserve">3. Problème de sérialisation : </w:t>
      </w:r>
      <w:r>
        <w:rPr>
          <w:rFonts w:ascii="Calibri" w:hAnsi="Calibri"/>
          <w:color w:val="2E343A"/>
          <w:sz w:val="20"/>
        </w:rPr>
        <w:t>Le chargement paresseux (Lazy Loading) d'entités liées provoque fréquemment des erreurs 'LazyInitializationException' ou des boucles infinies de sérialisation JSON (références circulaires).</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ms-patrimoine/.../dto/PatrimoineDto.java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sn.zig.patrimoine.dto;</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lombok.AllArgsConstructor;</w:t>
            </w:r>
          </w:p>
          <w:p>
            <w:pPr>
              <w:spacing w:before="0" w:after="0" w:line="252" w:lineRule="auto"/>
            </w:pPr>
            <w:r>
              <w:rPr>
                <w:rFonts w:ascii="Consolas" w:hAnsi="Consolas"/>
                <w:color w:val="003366"/>
                <w:sz w:val="17"/>
              </w:rPr>
              <w:t>import lombok.Builder;</w:t>
            </w:r>
          </w:p>
          <w:p>
            <w:pPr>
              <w:spacing w:before="0" w:after="0" w:line="252" w:lineRule="auto"/>
            </w:pPr>
            <w:r>
              <w:rPr>
                <w:rFonts w:ascii="Consolas" w:hAnsi="Consolas"/>
                <w:color w:val="003366"/>
                <w:sz w:val="17"/>
              </w:rPr>
              <w:t>import lombok.Data;</w:t>
            </w:r>
          </w:p>
          <w:p>
            <w:pPr>
              <w:spacing w:before="0" w:after="0" w:line="252" w:lineRule="auto"/>
            </w:pPr>
            <w:r>
              <w:rPr>
                <w:rFonts w:ascii="Consolas" w:hAnsi="Consolas"/>
                <w:color w:val="003366"/>
                <w:sz w:val="17"/>
              </w:rPr>
              <w:t>import lombok.NoArgsConstructor;</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Data Transfer Object pour Patrimoine (TP 2 - Slide 7 Dr Lamine FATY).</w:t>
            </w:r>
          </w:p>
          <w:p>
            <w:pPr>
              <w:spacing w:before="0" w:after="0" w:line="252" w:lineRule="auto"/>
            </w:pPr>
            <w:r>
              <w:rPr>
                <w:rFonts w:ascii="Consolas" w:hAnsi="Consolas"/>
                <w:i/>
                <w:color w:val="008000"/>
                <w:sz w:val="17"/>
              </w:rPr>
              <w:t xml:space="preserve"> * Rôles : contrat d'échange public, découplage des couches et sécurité.</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@Data</w:t>
            </w:r>
          </w:p>
          <w:p>
            <w:pPr>
              <w:spacing w:before="0" w:after="0" w:line="252" w:lineRule="auto"/>
            </w:pPr>
            <w:r>
              <w:rPr>
                <w:rFonts w:ascii="Consolas" w:hAnsi="Consolas"/>
                <w:b/>
                <w:color w:val="2B669A"/>
                <w:sz w:val="17"/>
              </w:rPr>
              <w:t>@NoArgsConstructor</w:t>
            </w:r>
          </w:p>
          <w:p>
            <w:pPr>
              <w:spacing w:before="0" w:after="0" w:line="252" w:lineRule="auto"/>
            </w:pPr>
            <w:r>
              <w:rPr>
                <w:rFonts w:ascii="Consolas" w:hAnsi="Consolas"/>
                <w:b/>
                <w:color w:val="2B669A"/>
                <w:sz w:val="17"/>
              </w:rPr>
              <w:t>@AllArgsConstructor</w:t>
            </w:r>
          </w:p>
          <w:p>
            <w:pPr>
              <w:spacing w:before="0" w:after="0" w:line="252" w:lineRule="auto"/>
            </w:pPr>
            <w:r>
              <w:rPr>
                <w:rFonts w:ascii="Consolas" w:hAnsi="Consolas"/>
                <w:b/>
                <w:color w:val="2B669A"/>
                <w:sz w:val="17"/>
              </w:rPr>
              <w:t>@Builder</w:t>
            </w:r>
          </w:p>
          <w:p>
            <w:pPr>
              <w:spacing w:before="0" w:after="0" w:line="252" w:lineRule="auto"/>
            </w:pPr>
            <w:r>
              <w:rPr>
                <w:rFonts w:ascii="Consolas" w:hAnsi="Consolas"/>
                <w:color w:val="003366"/>
                <w:sz w:val="17"/>
              </w:rPr>
              <w:t>public class PatrimoineDto {</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 xml:space="preserve">    private Long id;</w:t>
            </w:r>
          </w:p>
          <w:p>
            <w:pPr>
              <w:spacing w:before="0" w:after="0" w:line="252" w:lineRule="auto"/>
            </w:pPr>
            <w:r>
              <w:rPr>
                <w:rFonts w:ascii="Consolas" w:hAnsi="Consolas"/>
                <w:color w:val="003366"/>
                <w:sz w:val="17"/>
              </w:rPr>
              <w:t xml:space="preserve">    private String nomPatrimoine;</w:t>
            </w:r>
          </w:p>
          <w:p>
            <w:pPr>
              <w:spacing w:before="0" w:after="0" w:line="252" w:lineRule="auto"/>
            </w:pPr>
            <w:r>
              <w:rPr>
                <w:rFonts w:ascii="Consolas" w:hAnsi="Consolas"/>
                <w:color w:val="003366"/>
                <w:sz w:val="17"/>
              </w:rPr>
              <w:t xml:space="preserve">    private String codePatrimoine;</w:t>
            </w:r>
          </w:p>
          <w:p>
            <w:pPr>
              <w:spacing w:before="0" w:after="0" w:line="252" w:lineRule="auto"/>
            </w:pPr>
            <w:r>
              <w:rPr>
                <w:rFonts w:ascii="Consolas" w:hAnsi="Consolas"/>
                <w:color w:val="003366"/>
                <w:sz w:val="17"/>
              </w:rPr>
              <w:t xml:space="preserve">    private String descriptionPatrimoine;</w:t>
            </w:r>
          </w:p>
          <w:p>
            <w:pPr>
              <w:spacing w:before="0" w:after="0" w:line="252" w:lineRule="auto"/>
            </w:pPr>
            <w:r>
              <w:rPr>
                <w:rFonts w:ascii="Consolas" w:hAnsi="Consolas"/>
                <w:color w:val="003366"/>
                <w:sz w:val="17"/>
              </w:rPr>
              <w:t xml:space="preserve">    private String historiquePatrimoine;</w:t>
            </w:r>
          </w:p>
          <w:p>
            <w:pPr>
              <w:spacing w:before="0" w:after="0" w:line="252" w:lineRule="auto"/>
            </w:pPr>
            <w:r>
              <w:rPr>
                <w:rFonts w:ascii="Consolas" w:hAnsi="Consolas"/>
                <w:color w:val="003366"/>
                <w:sz w:val="17"/>
              </w:rPr>
              <w:t xml:space="preserve">    private String adressePatrimoine;</w:t>
            </w:r>
          </w:p>
          <w:p>
            <w:pPr>
              <w:spacing w:before="0" w:after="0" w:line="252" w:lineRule="auto"/>
            </w:pPr>
            <w:r>
              <w:rPr>
                <w:rFonts w:ascii="Consolas" w:hAnsi="Consolas"/>
                <w:color w:val="003366"/>
                <w:sz w:val="17"/>
              </w:rPr>
              <w:t xml:space="preserve">    private int capacitePatrimoine;</w:t>
            </w:r>
          </w:p>
          <w:p>
            <w:pPr>
              <w:spacing w:before="0" w:after="0" w:line="252" w:lineRule="auto"/>
            </w:pPr>
            <w:r>
              <w:rPr>
                <w:rFonts w:ascii="Consolas" w:hAnsi="Consolas"/>
                <w:color w:val="003366"/>
                <w:sz w:val="17"/>
              </w:rPr>
              <w:t xml:space="preserve">    private Double latitudePatrimoine;</w:t>
            </w:r>
          </w:p>
          <w:p>
            <w:pPr>
              <w:spacing w:before="0" w:after="0" w:line="252" w:lineRule="auto"/>
            </w:pPr>
            <w:r>
              <w:rPr>
                <w:rFonts w:ascii="Consolas" w:hAnsi="Consolas"/>
                <w:color w:val="003366"/>
                <w:sz w:val="17"/>
              </w:rPr>
              <w:t xml:space="preserve">    private Double longitudePatrimoine;</w:t>
            </w:r>
          </w:p>
          <w:p>
            <w:pPr>
              <w:spacing w:before="0" w:after="0" w:line="252" w:lineRule="auto"/>
            </w:pPr>
            <w:r>
              <w:rPr>
                <w:rFonts w:ascii="Consolas" w:hAnsi="Consolas"/>
                <w:color w:val="24292E"/>
                <w:sz w:val="17"/>
              </w:rPr>
              <w:t>}</w:t>
            </w:r>
          </w:p>
        </w:tc>
      </w:tr>
    </w:tbl>
    <w:p>
      <w:pPr>
        <w:spacing w:after="120"/>
      </w:pPr>
    </w:p>
    <w:p>
      <w:pPr>
        <w:keepNext/>
        <w:spacing w:before="160" w:after="60"/>
      </w:pPr>
      <w:r>
        <w:rPr>
          <w:rFonts w:ascii="Calibri" w:hAnsi="Calibri"/>
          <w:b/>
          <w:color w:val="1E3A8A"/>
          <w:sz w:val="22"/>
        </w:rPr>
        <w:t>B. Génération Automatique des Mappings avec MapStruct — Slide 9</w:t>
      </w:r>
    </w:p>
    <w:p>
      <w:pPr>
        <w:spacing w:before="0" w:after="80" w:line="276" w:lineRule="auto"/>
        <w:jc w:val="both"/>
      </w:pPr>
      <w:r>
        <w:rPr>
          <w:rFonts w:ascii="Calibri" w:hAnsi="Calibri"/>
          <w:color w:val="2E343A"/>
          <w:sz w:val="20"/>
        </w:rPr>
        <w:t>La conversion manuelle entre Entité et DTO (via des enchaînements verbeux de 'dto.setNom(entity.getNom())') est source de bugs et nuit à la lisibilité. Conformément au Slide 9 du TP2, nous avons intégré la bibliothèque MapStruct. Fonctionnant comme processeur d'annotations au moment de la compilation javac, MapStruct génère un code Java natif ultra-performant et type-safe.</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ms-patrimoine/.../mappers/PatrimoineMapper.java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sn.zig.patrimoine.mappers;</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org.mapstruct.Mapper;</w:t>
            </w:r>
          </w:p>
          <w:p>
            <w:pPr>
              <w:spacing w:before="0" w:after="0" w:line="252" w:lineRule="auto"/>
            </w:pPr>
            <w:r>
              <w:rPr>
                <w:rFonts w:ascii="Consolas" w:hAnsi="Consolas"/>
                <w:color w:val="003366"/>
                <w:sz w:val="17"/>
              </w:rPr>
              <w:t>import sn.zig.patrimoine.dto.PatrimoineDto;</w:t>
            </w:r>
          </w:p>
          <w:p>
            <w:pPr>
              <w:spacing w:before="0" w:after="0" w:line="252" w:lineRule="auto"/>
            </w:pPr>
            <w:r>
              <w:rPr>
                <w:rFonts w:ascii="Consolas" w:hAnsi="Consolas"/>
                <w:color w:val="003366"/>
                <w:sz w:val="17"/>
              </w:rPr>
              <w:t>import sn.zig.patrimoine.model.Patrimoine;</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Interface Mapper MapStruct (TP 2 - Slide 9 Dr Lamine FATY).</w:t>
            </w:r>
          </w:p>
          <w:p>
            <w:pPr>
              <w:spacing w:before="0" w:after="0" w:line="252" w:lineRule="auto"/>
            </w:pPr>
            <w:r>
              <w:rPr>
                <w:rFonts w:ascii="Consolas" w:hAnsi="Consolas"/>
                <w:i/>
                <w:color w:val="008000"/>
                <w:sz w:val="17"/>
              </w:rPr>
              <w:t xml:space="preserve"> * Génère automatiquement le code de conversion bidirectionnelle à la compilation.</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@Mapper(componentModel = "spring")</w:t>
            </w:r>
          </w:p>
          <w:p>
            <w:pPr>
              <w:spacing w:before="0" w:after="0" w:line="252" w:lineRule="auto"/>
            </w:pPr>
            <w:r>
              <w:rPr>
                <w:rFonts w:ascii="Consolas" w:hAnsi="Consolas"/>
                <w:color w:val="003366"/>
                <w:sz w:val="17"/>
              </w:rPr>
              <w:t>public interface PatrimoineMapper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Convertit le DTO reçu du contrôleur en Entité pour la persistance</w:t>
            </w:r>
          </w:p>
          <w:p>
            <w:pPr>
              <w:spacing w:before="0" w:after="0" w:line="252" w:lineRule="auto"/>
            </w:pPr>
            <w:r>
              <w:rPr>
                <w:rFonts w:ascii="Consolas" w:hAnsi="Consolas"/>
                <w:color w:val="24292E"/>
                <w:sz w:val="17"/>
              </w:rPr>
              <w:t xml:space="preserve">    Patrimoine toEntity(PatrimoineDto patrimoineDto);</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Convertit l'Entité extraite de la base en DTO pour la réponse HTTP</w:t>
            </w:r>
          </w:p>
          <w:p>
            <w:pPr>
              <w:spacing w:before="0" w:after="0" w:line="252" w:lineRule="auto"/>
            </w:pPr>
            <w:r>
              <w:rPr>
                <w:rFonts w:ascii="Consolas" w:hAnsi="Consolas"/>
                <w:color w:val="24292E"/>
                <w:sz w:val="17"/>
              </w:rPr>
              <w:t xml:space="preserve">    PatrimoineDto toDto(Patrimoine patrimoine);</w:t>
            </w:r>
          </w:p>
          <w:p>
            <w:pPr>
              <w:spacing w:before="0" w:after="0" w:line="252" w:lineRule="auto"/>
            </w:pPr>
            <w:r>
              <w:rPr>
                <w:rFonts w:ascii="Consolas" w:hAnsi="Consolas"/>
                <w:color w:val="24292E"/>
                <w:sz w:val="17"/>
              </w:rPr>
              <w:t>}</w:t>
            </w:r>
          </w:p>
        </w:tc>
      </w:tr>
    </w:tbl>
    <w:p>
      <w:pPr>
        <w:spacing w:after="120"/>
      </w:pPr>
    </w:p>
    <w:p>
      <w:pPr>
        <w:keepNext/>
        <w:spacing w:before="160" w:after="60"/>
      </w:pPr>
      <w:r>
        <w:rPr>
          <w:rFonts w:ascii="Calibri" w:hAnsi="Calibri"/>
          <w:b/>
          <w:color w:val="1E3A8A"/>
          <w:sz w:val="22"/>
        </w:rPr>
        <w:t>C. Contrôleur REST et Exposition des Endpoints — Slides 17 à 21</w:t>
      </w:r>
    </w:p>
    <w:p>
      <w:pPr>
        <w:spacing w:before="0" w:after="80" w:line="276" w:lineRule="auto"/>
        <w:jc w:val="both"/>
      </w:pPr>
      <w:r>
        <w:rPr>
          <w:rFonts w:ascii="Calibri" w:hAnsi="Calibri"/>
          <w:color w:val="2E343A"/>
          <w:sz w:val="20"/>
        </w:rPr>
        <w:t>Le composant 'PatrimoineController' expose les opérations CRUD standard sur les DTOs, avec injection par constructeur gérée par Lombok (@RequiredArgsConstructor)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ms-patrimoine/.../controller/PatrimoineController.java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sn.zig.patrimoine.controller;</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lombok.RequiredArgsConstructor;</w:t>
            </w:r>
          </w:p>
          <w:p>
            <w:pPr>
              <w:spacing w:before="0" w:after="0" w:line="252" w:lineRule="auto"/>
            </w:pPr>
            <w:r>
              <w:rPr>
                <w:rFonts w:ascii="Consolas" w:hAnsi="Consolas"/>
                <w:color w:val="003366"/>
                <w:sz w:val="17"/>
              </w:rPr>
              <w:t>import org.springframework.http.HttpStatus;</w:t>
            </w:r>
          </w:p>
          <w:p>
            <w:pPr>
              <w:spacing w:before="0" w:after="0" w:line="252" w:lineRule="auto"/>
            </w:pPr>
            <w:r>
              <w:rPr>
                <w:rFonts w:ascii="Consolas" w:hAnsi="Consolas"/>
                <w:color w:val="003366"/>
                <w:sz w:val="17"/>
              </w:rPr>
              <w:t>import org.springframework.http.ResponseEntity;</w:t>
            </w:r>
          </w:p>
          <w:p>
            <w:pPr>
              <w:spacing w:before="0" w:after="0" w:line="252" w:lineRule="auto"/>
            </w:pPr>
            <w:r>
              <w:rPr>
                <w:rFonts w:ascii="Consolas" w:hAnsi="Consolas"/>
                <w:color w:val="003366"/>
                <w:sz w:val="17"/>
              </w:rPr>
              <w:t>import org.springframework.web.bind.annotation.*;</w:t>
            </w:r>
          </w:p>
          <w:p>
            <w:pPr>
              <w:spacing w:before="0" w:after="0" w:line="252" w:lineRule="auto"/>
            </w:pPr>
            <w:r>
              <w:rPr>
                <w:rFonts w:ascii="Consolas" w:hAnsi="Consolas"/>
                <w:color w:val="003366"/>
                <w:sz w:val="17"/>
              </w:rPr>
              <w:t>import sn.zig.patrimoine.dto.PatrimoineDto;</w:t>
            </w:r>
          </w:p>
          <w:p>
            <w:pPr>
              <w:spacing w:before="0" w:after="0" w:line="252" w:lineRule="auto"/>
            </w:pPr>
            <w:r>
              <w:rPr>
                <w:rFonts w:ascii="Consolas" w:hAnsi="Consolas"/>
                <w:color w:val="003366"/>
                <w:sz w:val="17"/>
              </w:rPr>
              <w:t>import sn.zig.patrimoine.service.IPatrimoineService;</w:t>
            </w:r>
          </w:p>
          <w:p>
            <w:pPr>
              <w:spacing w:before="0" w:after="0" w:line="252" w:lineRule="auto"/>
            </w:pPr>
            <w:r>
              <w:rPr>
                <w:rFonts w:ascii="Consolas" w:hAnsi="Consolas"/>
                <w:color w:val="003366"/>
                <w:sz w:val="17"/>
              </w:rPr>
              <w:t>import java.util.List;</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Contrôleur REST pour ms-patrimoine avec DTO (TP 2 - Slides 17 à 21 Dr Lamine FATY).</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@RestController</w:t>
            </w:r>
          </w:p>
          <w:p>
            <w:pPr>
              <w:spacing w:before="0" w:after="0" w:line="252" w:lineRule="auto"/>
            </w:pPr>
            <w:r>
              <w:rPr>
                <w:rFonts w:ascii="Consolas" w:hAnsi="Consolas"/>
                <w:b/>
                <w:color w:val="2B669A"/>
                <w:sz w:val="17"/>
              </w:rPr>
              <w:t>@RequestMapping("/api/patrimoines")</w:t>
            </w:r>
          </w:p>
          <w:p>
            <w:pPr>
              <w:spacing w:before="0" w:after="0" w:line="252" w:lineRule="auto"/>
            </w:pPr>
            <w:r>
              <w:rPr>
                <w:rFonts w:ascii="Consolas" w:hAnsi="Consolas"/>
                <w:b/>
                <w:color w:val="2B669A"/>
                <w:sz w:val="17"/>
              </w:rPr>
              <w:t>@RequiredArgsConstructor</w:t>
            </w:r>
          </w:p>
          <w:p>
            <w:pPr>
              <w:spacing w:before="0" w:after="0" w:line="252" w:lineRule="auto"/>
            </w:pPr>
            <w:r>
              <w:rPr>
                <w:rFonts w:ascii="Consolas" w:hAnsi="Consolas"/>
                <w:b/>
                <w:color w:val="2B669A"/>
                <w:sz w:val="17"/>
              </w:rPr>
              <w:t>@CrossOrigin(origins = "*")</w:t>
            </w:r>
          </w:p>
          <w:p>
            <w:pPr>
              <w:spacing w:before="0" w:after="0" w:line="252" w:lineRule="auto"/>
            </w:pPr>
            <w:r>
              <w:rPr>
                <w:rFonts w:ascii="Consolas" w:hAnsi="Consolas"/>
                <w:color w:val="003366"/>
                <w:sz w:val="17"/>
              </w:rPr>
              <w:t>public class PatrimoineController {</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 xml:space="preserve">    private final IPatrimoineService patrimoineService;</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1. Récupérer tous les patrimoines (Slide 17)</w:t>
            </w:r>
          </w:p>
          <w:p>
            <w:pPr>
              <w:spacing w:before="0" w:after="0" w:line="252" w:lineRule="auto"/>
            </w:pPr>
            <w:r>
              <w:rPr>
                <w:rFonts w:ascii="Consolas" w:hAnsi="Consolas"/>
                <w:b/>
                <w:color w:val="2B669A"/>
                <w:sz w:val="17"/>
              </w:rPr>
              <w:t xml:space="preserve">    @GetMapping</w:t>
            </w:r>
          </w:p>
          <w:p>
            <w:pPr>
              <w:spacing w:before="0" w:after="0" w:line="252" w:lineRule="auto"/>
            </w:pPr>
            <w:r>
              <w:rPr>
                <w:rFonts w:ascii="Consolas" w:hAnsi="Consolas"/>
                <w:color w:val="003366"/>
                <w:sz w:val="17"/>
              </w:rPr>
              <w:t xml:space="preserve">    public List&lt;PatrimoineDto&gt; getAllPatrimoines() {</w:t>
            </w:r>
          </w:p>
          <w:p>
            <w:pPr>
              <w:spacing w:before="0" w:after="0" w:line="252" w:lineRule="auto"/>
            </w:pPr>
            <w:r>
              <w:rPr>
                <w:rFonts w:ascii="Consolas" w:hAnsi="Consolas"/>
                <w:color w:val="003366"/>
                <w:sz w:val="17"/>
              </w:rPr>
              <w:t xml:space="preserve">        return this.patrimoineService.getAllPatrimoines();</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2. Récupérer un patrimoine par son ID (Slide 18)</w:t>
            </w:r>
          </w:p>
          <w:p>
            <w:pPr>
              <w:spacing w:before="0" w:after="0" w:line="252" w:lineRule="auto"/>
            </w:pPr>
            <w:r>
              <w:rPr>
                <w:rFonts w:ascii="Consolas" w:hAnsi="Consolas"/>
                <w:b/>
                <w:color w:val="2B669A"/>
                <w:sz w:val="17"/>
              </w:rPr>
              <w:t xml:space="preserve">    @GetMapping("/{id}")</w:t>
            </w:r>
          </w:p>
          <w:p>
            <w:pPr>
              <w:spacing w:before="0" w:after="0" w:line="252" w:lineRule="auto"/>
            </w:pPr>
            <w:r>
              <w:rPr>
                <w:rFonts w:ascii="Consolas" w:hAnsi="Consolas"/>
                <w:color w:val="003366"/>
                <w:sz w:val="17"/>
              </w:rPr>
              <w:t xml:space="preserve">    public ResponseEntity&lt;PatrimoineDto&gt; getPatrimoineById(@PathVariable("id") Long id) {</w:t>
            </w:r>
          </w:p>
          <w:p>
            <w:pPr>
              <w:spacing w:before="0" w:after="0" w:line="252" w:lineRule="auto"/>
            </w:pPr>
            <w:r>
              <w:rPr>
                <w:rFonts w:ascii="Consolas" w:hAnsi="Consolas"/>
                <w:color w:val="24292E"/>
                <w:sz w:val="17"/>
              </w:rPr>
              <w:t xml:space="preserve">        try {</w:t>
            </w:r>
          </w:p>
          <w:p>
            <w:pPr>
              <w:spacing w:before="0" w:after="0" w:line="252" w:lineRule="auto"/>
            </w:pPr>
            <w:r>
              <w:rPr>
                <w:rFonts w:ascii="Consolas" w:hAnsi="Consolas"/>
                <w:color w:val="003366"/>
                <w:sz w:val="17"/>
              </w:rPr>
              <w:t xml:space="preserve">            return ResponseEntity.ok(this.patrimoineService.getByIdPatrimoine(id));</w:t>
            </w:r>
          </w:p>
          <w:p>
            <w:pPr>
              <w:spacing w:before="0" w:after="0" w:line="252" w:lineRule="auto"/>
            </w:pPr>
            <w:r>
              <w:rPr>
                <w:rFonts w:ascii="Consolas" w:hAnsi="Consolas"/>
                <w:color w:val="24292E"/>
                <w:sz w:val="17"/>
              </w:rPr>
              <w:t xml:space="preserve">        } catch (Exception e) {</w:t>
            </w:r>
          </w:p>
          <w:p>
            <w:pPr>
              <w:spacing w:before="0" w:after="0" w:line="252" w:lineRule="auto"/>
            </w:pPr>
            <w:r>
              <w:rPr>
                <w:rFonts w:ascii="Consolas" w:hAnsi="Consolas"/>
                <w:color w:val="003366"/>
                <w:sz w:val="17"/>
              </w:rPr>
              <w:t xml:space="preserve">            return ResponseEntity.notFound().build();</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3. Créer un patrimoine (Slide 19)</w:t>
            </w:r>
          </w:p>
          <w:p>
            <w:pPr>
              <w:spacing w:before="0" w:after="0" w:line="252" w:lineRule="auto"/>
            </w:pPr>
            <w:r>
              <w:rPr>
                <w:rFonts w:ascii="Consolas" w:hAnsi="Consolas"/>
                <w:b/>
                <w:color w:val="2B669A"/>
                <w:sz w:val="17"/>
              </w:rPr>
              <w:t xml:space="preserve">    @PostMapping</w:t>
            </w:r>
          </w:p>
          <w:p>
            <w:pPr>
              <w:spacing w:before="0" w:after="0" w:line="252" w:lineRule="auto"/>
            </w:pPr>
            <w:r>
              <w:rPr>
                <w:rFonts w:ascii="Consolas" w:hAnsi="Consolas"/>
                <w:b/>
                <w:color w:val="2B669A"/>
                <w:sz w:val="17"/>
              </w:rPr>
              <w:t xml:space="preserve">    @ResponseStatus(HttpStatus.CREATED)</w:t>
            </w:r>
          </w:p>
          <w:p>
            <w:pPr>
              <w:spacing w:before="0" w:after="0" w:line="252" w:lineRule="auto"/>
            </w:pPr>
            <w:r>
              <w:rPr>
                <w:rFonts w:ascii="Consolas" w:hAnsi="Consolas"/>
                <w:color w:val="003366"/>
                <w:sz w:val="17"/>
              </w:rPr>
              <w:t xml:space="preserve">    public PatrimoineDto createPatrimoine(@RequestBody PatrimoineDto patrimoineDto) {</w:t>
            </w:r>
          </w:p>
          <w:p>
            <w:pPr>
              <w:spacing w:before="0" w:after="0" w:line="252" w:lineRule="auto"/>
            </w:pPr>
            <w:r>
              <w:rPr>
                <w:rFonts w:ascii="Consolas" w:hAnsi="Consolas"/>
                <w:color w:val="003366"/>
                <w:sz w:val="17"/>
              </w:rPr>
              <w:t xml:space="preserve">        return this.patrimoineService.savePatrimoine(patrimoineDto);</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t>}</w:t>
            </w:r>
          </w:p>
        </w:tc>
      </w:tr>
    </w:tbl>
    <w:p>
      <w:pPr>
        <w:spacing w:after="120"/>
      </w:pPr>
    </w:p>
    <w:p>
      <w:pPr>
        <w:keepNext/>
        <w:spacing w:before="160" w:after="60"/>
      </w:pPr>
      <w:r>
        <w:rPr>
          <w:rFonts w:ascii="Calibri" w:hAnsi="Calibri"/>
          <w:b/>
          <w:color w:val="1E3A8A"/>
          <w:sz w:val="22"/>
        </w:rPr>
        <w:t>D. Communication Synchrone Inter-Services avec OpenFeign — Slide 32</w:t>
      </w:r>
    </w:p>
    <w:p>
      <w:pPr>
        <w:spacing w:before="0" w:after="80" w:line="276" w:lineRule="auto"/>
        <w:jc w:val="both"/>
      </w:pPr>
      <w:r>
        <w:rPr>
          <w:rFonts w:ascii="Calibri" w:hAnsi="Calibri"/>
          <w:color w:val="2E343A"/>
          <w:sz w:val="20"/>
        </w:rPr>
        <w:t>Un cas d'usage central de l'architecture distribuée est la collaboration entre services : le microservice 'ms-circuit' gère des parcours touristiques composés d'étapes. Chaque étape référence l'identifiant d'un patrimoine ('patrimoineId') stocké dans 'ms-patrimoine'.</w:t>
      </w:r>
    </w:p>
    <w:p>
      <w:pPr>
        <w:spacing w:before="0" w:after="80" w:line="276" w:lineRule="auto"/>
        <w:jc w:val="both"/>
      </w:pPr>
      <w:r>
        <w:rPr>
          <w:rFonts w:ascii="Calibri" w:hAnsi="Calibri"/>
          <w:color w:val="2E343A"/>
          <w:sz w:val="20"/>
        </w:rPr>
        <w:t>Dans l'ancien modèle monolithique, une simple jointure SQL SQL (JOIN) résolvait le problème. Dans notre architecture microservices, 'ms-circuit' n'a pas accès à la base de données de 'ms-patrimoine'. Pour enrichir les données du circuit, nous avons utilisé Spring Cloud OpenFeign, un client HTTP déclaratif qui transforme une interface annotée en appel REST transparent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ms-circuit/.../client/PatrimoineClient.java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package sn.zig.circuit.client;</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import org.springframework.cloud.openfeign.FeignClient;</w:t>
            </w:r>
          </w:p>
          <w:p>
            <w:pPr>
              <w:spacing w:before="0" w:after="0" w:line="252" w:lineRule="auto"/>
            </w:pPr>
            <w:r>
              <w:rPr>
                <w:rFonts w:ascii="Consolas" w:hAnsi="Consolas"/>
                <w:color w:val="003366"/>
                <w:sz w:val="17"/>
              </w:rPr>
              <w:t>import org.springframework.web.bind.annotation.GetMapping;</w:t>
            </w:r>
          </w:p>
          <w:p>
            <w:pPr>
              <w:spacing w:before="0" w:after="0" w:line="252" w:lineRule="auto"/>
            </w:pPr>
            <w:r>
              <w:rPr>
                <w:rFonts w:ascii="Consolas" w:hAnsi="Consolas"/>
                <w:color w:val="003366"/>
                <w:sz w:val="17"/>
              </w:rPr>
              <w:t>import org.springframework.web.bind.annotation.PathVariable;</w:t>
            </w:r>
          </w:p>
          <w:p>
            <w:pPr>
              <w:spacing w:before="0" w:after="0" w:line="252" w:lineRule="auto"/>
            </w:pPr>
            <w:r>
              <w:rPr>
                <w:rFonts w:ascii="Consolas" w:hAnsi="Consolas"/>
                <w:color w:val="003366"/>
                <w:sz w:val="17"/>
              </w:rPr>
              <w:t>import sn.zig.circuit.dto.PatrimoineDto;</w:t>
            </w:r>
          </w:p>
          <w:p>
            <w:pPr>
              <w:spacing w:before="0" w:after="0" w:line="252" w:lineRule="auto"/>
            </w:pPr>
            <w:r>
              <w:rPr>
                <w:rFonts w:ascii="Consolas" w:hAnsi="Consolas"/>
                <w:color w:val="003366"/>
                <w:sz w:val="17"/>
              </w:rPr>
              <w:t>import java.util.List;</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w:t>
            </w:r>
          </w:p>
          <w:p>
            <w:pPr>
              <w:spacing w:before="0" w:after="0" w:line="252" w:lineRule="auto"/>
            </w:pPr>
            <w:r>
              <w:rPr>
                <w:rFonts w:ascii="Consolas" w:hAnsi="Consolas"/>
                <w:i/>
                <w:color w:val="008000"/>
                <w:sz w:val="17"/>
              </w:rPr>
              <w:t xml:space="preserve"> * Feign API Client pour interroger ms-patrimoine (TP 2 - Slide 32 Dr Lamine FATY).</w:t>
            </w:r>
          </w:p>
          <w:p>
            <w:pPr>
              <w:spacing w:before="0" w:after="0" w:line="252" w:lineRule="auto"/>
            </w:pPr>
            <w:r>
              <w:rPr>
                <w:rFonts w:ascii="Consolas" w:hAnsi="Consolas"/>
                <w:i/>
                <w:color w:val="008000"/>
                <w:sz w:val="17"/>
              </w:rPr>
              <w:t xml:space="preserve"> * Permet à ms-circuit d'enrichir ses circuits sans requête SQL directe.</w:t>
            </w:r>
          </w:p>
          <w:p>
            <w:pPr>
              <w:spacing w:before="0" w:after="0" w:line="252" w:lineRule="auto"/>
            </w:pPr>
            <w:r>
              <w:rPr>
                <w:rFonts w:ascii="Consolas" w:hAnsi="Consolas"/>
                <w:i/>
                <w:color w:val="008000"/>
                <w:sz w:val="17"/>
              </w:rPr>
              <w:t xml:space="preserve"> */</w:t>
            </w:r>
          </w:p>
          <w:p>
            <w:pPr>
              <w:spacing w:before="0" w:after="0" w:line="252" w:lineRule="auto"/>
            </w:pPr>
            <w:r>
              <w:rPr>
                <w:rFonts w:ascii="Consolas" w:hAnsi="Consolas"/>
                <w:b/>
                <w:color w:val="2B669A"/>
                <w:sz w:val="17"/>
              </w:rPr>
              <w:t>@FeignClient(name = "ms-patrimoine", url = "${ms.patrimoine.url:http://localhost:8081}")</w:t>
            </w:r>
          </w:p>
          <w:p>
            <w:pPr>
              <w:spacing w:before="0" w:after="0" w:line="252" w:lineRule="auto"/>
            </w:pPr>
            <w:r>
              <w:rPr>
                <w:rFonts w:ascii="Consolas" w:hAnsi="Consolas"/>
                <w:color w:val="003366"/>
                <w:sz w:val="17"/>
              </w:rPr>
              <w:t>public interface PatrimoineClient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Appel REST synchrone : GET http://ms-patrimoine:8081/api/patrimoines/{id}</w:t>
            </w:r>
          </w:p>
          <w:p>
            <w:pPr>
              <w:spacing w:before="0" w:after="0" w:line="252" w:lineRule="auto"/>
            </w:pPr>
            <w:r>
              <w:rPr>
                <w:rFonts w:ascii="Consolas" w:hAnsi="Consolas"/>
                <w:b/>
                <w:color w:val="2B669A"/>
                <w:sz w:val="17"/>
              </w:rPr>
              <w:t xml:space="preserve">    @GetMapping("/api/patrimoines/{id}")</w:t>
            </w:r>
          </w:p>
          <w:p>
            <w:pPr>
              <w:spacing w:before="0" w:after="0" w:line="252" w:lineRule="auto"/>
            </w:pPr>
            <w:r>
              <w:rPr>
                <w:rFonts w:ascii="Consolas" w:hAnsi="Consolas"/>
                <w:color w:val="24292E"/>
                <w:sz w:val="17"/>
              </w:rPr>
              <w:t xml:space="preserve">    PatrimoineDto getPatrimoineById(@PathVariable("id") Long id);</w:t>
            </w:r>
          </w:p>
          <w:p>
            <w:pPr>
              <w:spacing w:before="0" w:after="0" w:line="252" w:lineRule="auto"/>
            </w:pPr>
            <w:r>
              <w:rPr>
                <w:rFonts w:ascii="Consolas" w:hAnsi="Consolas"/>
                <w:color w:val="24292E"/>
                <w:sz w:val="17"/>
              </w:rPr>
            </w:r>
          </w:p>
          <w:p>
            <w:pPr>
              <w:spacing w:before="0" w:after="0" w:line="252" w:lineRule="auto"/>
            </w:pPr>
            <w:r>
              <w:rPr>
                <w:rFonts w:ascii="Consolas" w:hAnsi="Consolas"/>
                <w:b/>
                <w:color w:val="2B669A"/>
                <w:sz w:val="17"/>
              </w:rPr>
              <w:t xml:space="preserve">    @GetMapping("/api/patrimoines")</w:t>
            </w:r>
          </w:p>
          <w:p>
            <w:pPr>
              <w:spacing w:before="0" w:after="0" w:line="252" w:lineRule="auto"/>
            </w:pPr>
            <w:r>
              <w:rPr>
                <w:rFonts w:ascii="Consolas" w:hAnsi="Consolas"/>
                <w:color w:val="24292E"/>
                <w:sz w:val="17"/>
              </w:rPr>
              <w:t xml:space="preserve">    List&lt;PatrimoineDto&gt; getAllPatrimoines();</w:t>
            </w:r>
          </w:p>
          <w:p>
            <w:pPr>
              <w:spacing w:before="0" w:after="0" w:line="252" w:lineRule="auto"/>
            </w:pPr>
            <w:r>
              <w:rPr>
                <w:rFonts w:ascii="Consolas" w:hAnsi="Consolas"/>
                <w:color w:val="24292E"/>
                <w:sz w:val="17"/>
              </w:rPr>
              <w:t>}</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360"/>
            <w:shd w:fill="F0F7F4"/>
            <w:tcBorders>
              <w:top w:val="none"/>
              <w:left w:val="single" w:sz="28" w:space="0" w:color="16382C"/>
              <w:bottom w:val="none"/>
              <w:right w:val="none"/>
            </w:tcBorders>
            <w:tcMar>
              <w:top w:w="140" w:type="dxa"/>
              <w:bottom w:w="140" w:type="dxa"/>
              <w:left w:w="220" w:type="dxa"/>
              <w:right w:w="180" w:type="dxa"/>
            </w:tcMar>
          </w:tcPr>
          <w:p>
            <w:pPr>
              <w:spacing w:before="40" w:after="40" w:line="276" w:lineRule="auto"/>
            </w:pPr>
            <w:r>
              <w:rPr>
                <w:rFonts w:ascii="Calibri" w:hAnsi="Calibri"/>
                <w:b/>
                <w:color w:val="16382C"/>
                <w:sz w:val="20"/>
              </w:rPr>
              <w:t xml:space="preserve">📌 APPLICATION DE LA RÈGLE D'ISOLATION DU SLIDE 28 : </w:t>
            </w:r>
            <w:r>
              <w:rPr>
                <w:rFonts w:ascii="Calibri" w:hAnsi="Calibri"/>
                <w:i/>
                <w:color w:val="323C46"/>
                <w:sz w:val="19"/>
              </w:rPr>
              <w:t>Comme l'impose le Slide 28 du cours de Dr Lamine FATY, le microservice 'ms-circuit' définit son PROPRE 'PatrimoineDto' (sn.zig.circuit.dto.PatrimoineDto) plutôt que d'importer le package de 'ms-patrimoine'. Cette règle empêche tout couplage binaire : si 'ms-patrimoine' évolue en interne, 'ms-circuit' reste intact tant que le contrat JSON est respecté.</w:t>
            </w:r>
          </w:p>
        </w:tc>
      </w:tr>
    </w:tbl>
    <w:p>
      <w:pPr>
        <w:spacing w:after="80"/>
      </w:pPr>
    </w:p>
    <w:p>
      <w:pPr>
        <w:spacing w:before="0" w:after="80" w:line="276" w:lineRule="auto"/>
        <w:jc w:val="both"/>
      </w:pPr>
      <w:r>
        <w:rPr>
          <w:rFonts w:ascii="Calibri" w:hAnsi="Calibri"/>
          <w:color w:val="2E343A"/>
          <w:sz w:val="20"/>
        </w:rPr>
        <w:t>Voici comment 'CircuitServiceImpl' utilise ce client Feign pour enrichir les circuits et sécuriser les éventuelles pannes temporaires grâce à la méthode 'fetchPatrimoineSafely'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ms-circuit/.../service/impl/CircuitServiceImpl.java</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i/>
                <w:color w:val="008000"/>
                <w:sz w:val="17"/>
              </w:rPr>
              <w:t>// Extrait de CircuitServiceImpl.java dans ms-circuit</w:t>
            </w:r>
          </w:p>
          <w:p>
            <w:pPr>
              <w:spacing w:before="0" w:after="0" w:line="252" w:lineRule="auto"/>
            </w:pPr>
            <w:r>
              <w:rPr>
                <w:rFonts w:ascii="Consolas" w:hAnsi="Consolas"/>
                <w:b/>
                <w:color w:val="2B669A"/>
                <w:sz w:val="17"/>
              </w:rPr>
              <w:t>@Override</w:t>
            </w:r>
          </w:p>
          <w:p>
            <w:pPr>
              <w:spacing w:before="0" w:after="0" w:line="252" w:lineRule="auto"/>
            </w:pPr>
            <w:r>
              <w:rPr>
                <w:rFonts w:ascii="Consolas" w:hAnsi="Consolas"/>
                <w:b/>
                <w:color w:val="2B669A"/>
                <w:sz w:val="17"/>
              </w:rPr>
              <w:t>@Transactional(readOnly = true)</w:t>
            </w:r>
          </w:p>
          <w:p>
            <w:pPr>
              <w:spacing w:before="0" w:after="0" w:line="252" w:lineRule="auto"/>
            </w:pPr>
            <w:r>
              <w:rPr>
                <w:rFonts w:ascii="Consolas" w:hAnsi="Consolas"/>
                <w:color w:val="003366"/>
                <w:sz w:val="17"/>
              </w:rPr>
              <w:t>public List&lt;PatrimoineDto&gt; getPatrimoinesDuCircuit(Long circuitId) {</w:t>
            </w:r>
          </w:p>
          <w:p>
            <w:pPr>
              <w:spacing w:before="0" w:after="0" w:line="252" w:lineRule="auto"/>
            </w:pPr>
            <w:r>
              <w:rPr>
                <w:rFonts w:ascii="Consolas" w:hAnsi="Consolas"/>
                <w:color w:val="24292E"/>
                <w:sz w:val="17"/>
              </w:rPr>
              <w:t xml:space="preserve">    List&lt;Etape&gt; etapes = etapeRepository.findByCircuitIdOrderByPositionAsc(circuitId);</w:t>
            </w:r>
          </w:p>
          <w:p>
            <w:pPr>
              <w:spacing w:before="0" w:after="0" w:line="252" w:lineRule="auto"/>
            </w:pPr>
            <w:r>
              <w:rPr>
                <w:rFonts w:ascii="Consolas" w:hAnsi="Consolas"/>
                <w:color w:val="24292E"/>
                <w:sz w:val="17"/>
              </w:rPr>
              <w:t xml:space="preserve">    List&lt;PatrimoineDto&gt; patrimoines = new ArrayList&lt;&gt;();</w:t>
            </w:r>
          </w:p>
          <w:p>
            <w:pPr>
              <w:spacing w:before="0" w:after="0" w:line="252" w:lineRule="auto"/>
            </w:pPr>
            <w:r>
              <w:rPr>
                <w:rFonts w:ascii="Consolas" w:hAnsi="Consolas"/>
                <w:color w:val="24292E"/>
                <w:sz w:val="17"/>
              </w:rPr>
            </w:r>
          </w:p>
          <w:p>
            <w:pPr>
              <w:spacing w:before="0" w:after="0" w:line="252" w:lineRule="auto"/>
            </w:pPr>
            <w:r>
              <w:rPr>
                <w:rFonts w:ascii="Consolas" w:hAnsi="Consolas"/>
                <w:color w:val="24292E"/>
                <w:sz w:val="17"/>
              </w:rPr>
              <w:t xml:space="preserve">    for (Etape etape : etapes) {</w:t>
            </w:r>
          </w:p>
          <w:p>
            <w:pPr>
              <w:spacing w:before="0" w:after="0" w:line="252" w:lineRule="auto"/>
            </w:pPr>
            <w:r>
              <w:rPr>
                <w:rFonts w:ascii="Consolas" w:hAnsi="Consolas"/>
                <w:i/>
                <w:color w:val="008000"/>
                <w:sz w:val="17"/>
              </w:rPr>
              <w:t xml:space="preserve">        // Appel synchrone OpenFeign sécurisé vers ms-patrimoine</w:t>
            </w:r>
          </w:p>
          <w:p>
            <w:pPr>
              <w:spacing w:before="0" w:after="0" w:line="252" w:lineRule="auto"/>
            </w:pPr>
            <w:r>
              <w:rPr>
                <w:rFonts w:ascii="Consolas" w:hAnsi="Consolas"/>
                <w:color w:val="24292E"/>
                <w:sz w:val="17"/>
              </w:rPr>
              <w:t xml:space="preserve">        PatrimoineDto patrimoine = fetchPatrimoineSafely(etape.getPatrimoineId());</w:t>
            </w:r>
          </w:p>
          <w:p>
            <w:pPr>
              <w:spacing w:before="0" w:after="0" w:line="252" w:lineRule="auto"/>
            </w:pPr>
            <w:r>
              <w:rPr>
                <w:rFonts w:ascii="Consolas" w:hAnsi="Consolas"/>
                <w:color w:val="24292E"/>
                <w:sz w:val="17"/>
              </w:rPr>
              <w:t xml:space="preserve">        if (patrimoine != null) {</w:t>
            </w:r>
          </w:p>
          <w:p>
            <w:pPr>
              <w:spacing w:before="0" w:after="0" w:line="252" w:lineRule="auto"/>
            </w:pPr>
            <w:r>
              <w:rPr>
                <w:rFonts w:ascii="Consolas" w:hAnsi="Consolas"/>
                <w:color w:val="24292E"/>
                <w:sz w:val="17"/>
              </w:rPr>
              <w:t xml:space="preserve">            patrimoines.add(patrimoine);</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003366"/>
                <w:sz w:val="17"/>
              </w:rPr>
              <w:t xml:space="preserve">    return patrimoines;</w:t>
            </w:r>
          </w:p>
          <w:p>
            <w:pPr>
              <w:spacing w:before="0" w:after="0" w:line="252" w:lineRule="auto"/>
            </w:pPr>
            <w:r>
              <w:rPr>
                <w:rFonts w:ascii="Consolas" w:hAnsi="Consolas"/>
                <w:color w:val="24292E"/>
                <w:sz w:val="17"/>
              </w:rPr>
              <w:t>}</w:t>
            </w:r>
          </w:p>
          <w:p>
            <w:pPr>
              <w:spacing w:before="0" w:after="0" w:line="252" w:lineRule="auto"/>
            </w:pPr>
            <w:r>
              <w:rPr>
                <w:rFonts w:ascii="Consolas" w:hAnsi="Consolas"/>
                <w:color w:val="24292E"/>
                <w:sz w:val="17"/>
              </w:rPr>
            </w:r>
          </w:p>
          <w:p>
            <w:pPr>
              <w:spacing w:before="0" w:after="0" w:line="252" w:lineRule="auto"/>
            </w:pPr>
            <w:r>
              <w:rPr>
                <w:rFonts w:ascii="Consolas" w:hAnsi="Consolas"/>
                <w:color w:val="003366"/>
                <w:sz w:val="17"/>
              </w:rPr>
              <w:t>private PatrimoineDto fetchPatrimoineSafely(Long patrimoineId) {</w:t>
            </w:r>
          </w:p>
          <w:p>
            <w:pPr>
              <w:spacing w:before="0" w:after="0" w:line="252" w:lineRule="auto"/>
            </w:pPr>
            <w:r>
              <w:rPr>
                <w:rFonts w:ascii="Consolas" w:hAnsi="Consolas"/>
                <w:color w:val="24292E"/>
                <w:sz w:val="17"/>
              </w:rPr>
              <w:t xml:space="preserve">    try {</w:t>
            </w:r>
          </w:p>
          <w:p>
            <w:pPr>
              <w:spacing w:before="0" w:after="0" w:line="252" w:lineRule="auto"/>
            </w:pPr>
            <w:r>
              <w:rPr>
                <w:rFonts w:ascii="Consolas" w:hAnsi="Consolas"/>
                <w:color w:val="003366"/>
                <w:sz w:val="17"/>
              </w:rPr>
              <w:t xml:space="preserve">        return patrimoineClient.getPatrimoineById(patrimoineId);</w:t>
            </w:r>
          </w:p>
          <w:p>
            <w:pPr>
              <w:spacing w:before="0" w:after="0" w:line="252" w:lineRule="auto"/>
            </w:pPr>
            <w:r>
              <w:rPr>
                <w:rFonts w:ascii="Consolas" w:hAnsi="Consolas"/>
                <w:color w:val="24292E"/>
                <w:sz w:val="17"/>
              </w:rPr>
              <w:t xml:space="preserve">    } catch (Exception e) {</w:t>
            </w:r>
          </w:p>
          <w:p>
            <w:pPr>
              <w:spacing w:before="0" w:after="0" w:line="252" w:lineRule="auto"/>
            </w:pPr>
            <w:r>
              <w:rPr>
                <w:rFonts w:ascii="Consolas" w:hAnsi="Consolas"/>
                <w:i/>
                <w:color w:val="008000"/>
                <w:sz w:val="17"/>
              </w:rPr>
              <w:t xml:space="preserve">        // En cas d'indisponibilité temporaire du microservice ms-patrimoine</w:t>
            </w:r>
          </w:p>
          <w:p>
            <w:pPr>
              <w:spacing w:before="0" w:after="0" w:line="252" w:lineRule="auto"/>
            </w:pPr>
            <w:r>
              <w:rPr>
                <w:rFonts w:ascii="Consolas" w:hAnsi="Consolas"/>
                <w:color w:val="003366"/>
                <w:sz w:val="17"/>
              </w:rPr>
              <w:t xml:space="preserve">        return PatrimoineDto.builder()</w:t>
            </w:r>
          </w:p>
          <w:p>
            <w:pPr>
              <w:spacing w:before="0" w:after="0" w:line="252" w:lineRule="auto"/>
            </w:pPr>
            <w:r>
              <w:rPr>
                <w:rFonts w:ascii="Consolas" w:hAnsi="Consolas"/>
                <w:color w:val="24292E"/>
                <w:sz w:val="17"/>
              </w:rPr>
              <w:t xml:space="preserve">                .id(patrimoineId)</w:t>
            </w:r>
          </w:p>
          <w:p>
            <w:pPr>
              <w:spacing w:before="0" w:after="0" w:line="252" w:lineRule="auto"/>
            </w:pPr>
            <w:r>
              <w:rPr>
                <w:rFonts w:ascii="Consolas" w:hAnsi="Consolas"/>
                <w:color w:val="24292E"/>
                <w:sz w:val="17"/>
              </w:rPr>
              <w:t xml:space="preserve">                .nomPatrimoine("Patrimoine #" + patrimoineId + " (Indisponible)")</w:t>
            </w:r>
          </w:p>
          <w:p>
            <w:pPr>
              <w:spacing w:before="0" w:after="0" w:line="252" w:lineRule="auto"/>
            </w:pPr>
            <w:r>
              <w:rPr>
                <w:rFonts w:ascii="Consolas" w:hAnsi="Consolas"/>
                <w:color w:val="24292E"/>
                <w:sz w:val="17"/>
              </w:rPr>
              <w:t xml:space="preserve">                .descriptionPatrimoine("Information temporairement indisponible")</w:t>
            </w:r>
          </w:p>
          <w:p>
            <w:pPr>
              <w:spacing w:before="0" w:after="0" w:line="252" w:lineRule="auto"/>
            </w:pPr>
            <w:r>
              <w:rPr>
                <w:rFonts w:ascii="Consolas" w:hAnsi="Consolas"/>
                <w:color w:val="24292E"/>
                <w:sz w:val="17"/>
              </w:rPr>
              <w:t xml:space="preserve">                .build();</w:t>
            </w:r>
          </w:p>
          <w:p>
            <w:pPr>
              <w:spacing w:before="0" w:after="0" w:line="252" w:lineRule="auto"/>
            </w:pPr>
            <w:r>
              <w:rPr>
                <w:rFonts w:ascii="Consolas" w:hAnsi="Consolas"/>
                <w:color w:val="24292E"/>
                <w:sz w:val="17"/>
              </w:rPr>
              <w:t xml:space="preserve">    }</w:t>
            </w:r>
          </w:p>
          <w:p>
            <w:pPr>
              <w:spacing w:before="0" w:after="0" w:line="252" w:lineRule="auto"/>
            </w:pPr>
            <w:r>
              <w:rPr>
                <w:rFonts w:ascii="Consolas" w:hAnsi="Consolas"/>
                <w:color w:val="24292E"/>
                <w:sz w:val="17"/>
              </w:rPr>
              <w:t>}</w:t>
            </w:r>
          </w:p>
        </w:tc>
      </w:tr>
    </w:tbl>
    <w:p>
      <w:pPr>
        <w:spacing w:after="120"/>
      </w:pPr>
    </w:p>
    <w:p>
      <w:pPr>
        <w:keepNext/>
        <w:spacing w:before="240" w:after="80"/>
      </w:pPr>
      <w:r>
        <w:rPr>
          <w:rFonts w:ascii="Calibri" w:hAnsi="Calibri"/>
          <w:b/>
          <w:color w:val="B35900"/>
          <w:sz w:val="25"/>
        </w:rPr>
        <w:t>2.4 TP 3 : Conteneurisation Docker, Packaging et Orchestration Docker Compose</w:t>
      </w:r>
    </w:p>
    <w:p>
      <w:pPr>
        <w:keepNext/>
        <w:spacing w:before="160" w:after="60"/>
      </w:pPr>
      <w:r>
        <w:rPr>
          <w:rFonts w:ascii="Calibri" w:hAnsi="Calibri"/>
          <w:b/>
          <w:color w:val="1E3A8A"/>
          <w:sz w:val="22"/>
        </w:rPr>
        <w:t>A. Fichier Dockerfile Multi-Services (Java 21 LTS)</w:t>
      </w:r>
    </w:p>
    <w:p>
      <w:pPr>
        <w:spacing w:before="0" w:after="80" w:line="276" w:lineRule="auto"/>
        <w:jc w:val="both"/>
      </w:pPr>
      <w:r>
        <w:rPr>
          <w:rFonts w:ascii="Calibri" w:hAnsi="Calibri"/>
          <w:color w:val="2E343A"/>
          <w:sz w:val="20"/>
        </w:rPr>
        <w:t>Pour garantir qu'une application fonctionne de manière identique quel que soit l'ordinateur ou le système d'exploitation cible, le TP 3 standardise le déploiement par la conteneurisation. Chaque microservice dispose de son propre fichier 'Dockerfile' basé sur une image officielle OpenJDK 21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ms-patrimoine/Dockerfile</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i/>
                <w:color w:val="008000"/>
                <w:sz w:val="17"/>
              </w:rPr>
              <w:t># Image de base officielle Java 21 LTS légère</w:t>
            </w:r>
          </w:p>
          <w:p>
            <w:pPr>
              <w:spacing w:before="0" w:after="0" w:line="252" w:lineRule="auto"/>
            </w:pPr>
            <w:r>
              <w:rPr>
                <w:rFonts w:ascii="Consolas" w:hAnsi="Consolas"/>
                <w:color w:val="003366"/>
                <w:sz w:val="17"/>
              </w:rPr>
              <w:t>FROM eclipse-temurin:21-jdk</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Métadonnées du binôme (Matricules L3 L2I)</w:t>
            </w:r>
          </w:p>
          <w:p>
            <w:pPr>
              <w:spacing w:before="0" w:after="0" w:line="252" w:lineRule="auto"/>
            </w:pPr>
            <w:r>
              <w:rPr>
                <w:rFonts w:ascii="Consolas" w:hAnsi="Consolas"/>
                <w:color w:val="003366"/>
                <w:sz w:val="17"/>
              </w:rPr>
              <w:t>LABEL maintainer="Collé SYLL (202300489) &amp; Ndeye Thiamba FAYE (202300488)"</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Port d'écoute interne du microservice</w:t>
            </w:r>
          </w:p>
          <w:p>
            <w:pPr>
              <w:spacing w:before="0" w:after="0" w:line="252" w:lineRule="auto"/>
            </w:pPr>
            <w:r>
              <w:rPr>
                <w:rFonts w:ascii="Consolas" w:hAnsi="Consolas"/>
                <w:color w:val="003366"/>
                <w:sz w:val="17"/>
              </w:rPr>
              <w:t>EXPOSE 8081</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Copie du binaire JAR compilé par Maven</w:t>
            </w:r>
          </w:p>
          <w:p>
            <w:pPr>
              <w:spacing w:before="0" w:after="0" w:line="252" w:lineRule="auto"/>
            </w:pPr>
            <w:r>
              <w:rPr>
                <w:rFonts w:ascii="Consolas" w:hAnsi="Consolas"/>
                <w:color w:val="003366"/>
                <w:sz w:val="17"/>
              </w:rPr>
              <w:t>COPY target/*.jar app.jar</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Commande d'exécution au lancement du conteneur</w:t>
            </w:r>
          </w:p>
          <w:p>
            <w:pPr>
              <w:spacing w:before="0" w:after="0" w:line="252" w:lineRule="auto"/>
            </w:pPr>
            <w:r>
              <w:rPr>
                <w:rFonts w:ascii="Consolas" w:hAnsi="Consolas"/>
                <w:color w:val="003366"/>
                <w:sz w:val="17"/>
              </w:rPr>
              <w:t>ENTRYPOINT ["java", "-jar", "app.jar"]</w:t>
            </w:r>
          </w:p>
        </w:tc>
      </w:tr>
    </w:tbl>
    <w:p>
      <w:pPr>
        <w:spacing w:after="120"/>
      </w:pPr>
    </w:p>
    <w:p>
      <w:pPr>
        <w:keepNext/>
        <w:spacing w:before="160" w:after="60"/>
      </w:pPr>
      <w:r>
        <w:rPr>
          <w:rFonts w:ascii="Calibri" w:hAnsi="Calibri"/>
          <w:b/>
          <w:color w:val="1E3A8A"/>
          <w:sz w:val="22"/>
        </w:rPr>
        <w:t>B. Orchestration Multi-Conteneurs et Intégration MySQL XAMPP</w:t>
      </w:r>
    </w:p>
    <w:p>
      <w:pPr>
        <w:spacing w:before="0" w:after="80" w:line="276" w:lineRule="auto"/>
        <w:jc w:val="both"/>
      </w:pPr>
      <w:r>
        <w:rPr>
          <w:rFonts w:ascii="Calibri" w:hAnsi="Calibri"/>
          <w:color w:val="2E343A"/>
          <w:sz w:val="20"/>
        </w:rPr>
        <w:t>L'orchestration des 5 microservices est centralisée dans le fichier 'docker-compose.yml'. Un défi technique majeur résolu lors du TP 3 a été de faire communiquer les conteneurs Docker isolés avec le serveur de base de données MySQL hébergé sur la machine physique hôte (via XAMPP sur le port 3306).</w:t>
      </w:r>
    </w:p>
    <w:p>
      <w:pPr>
        <w:spacing w:before="0" w:after="80" w:line="276" w:lineRule="auto"/>
        <w:jc w:val="both"/>
      </w:pPr>
      <w:r>
        <w:rPr>
          <w:rFonts w:ascii="Calibri" w:hAnsi="Calibri"/>
          <w:color w:val="2E343A"/>
          <w:sz w:val="20"/>
        </w:rPr>
        <w:t>Grâce à l'instruction 'extra_hosts: ["host.docker.internal:host-gateway"]' et à la chaîne de connexion 'jdbc:mysql://host.docker.internal:3306/patrimoinedb', tous les microservices accèdent avec succès à la base de données sans perturber l'installation locale :</w:t>
      </w:r>
    </w:p>
    <w:p>
      <w:pPr>
        <w:keepNext/>
        <w:spacing w:before="160" w:after="40"/>
      </w:pPr>
      <w:r>
        <w:rPr>
          <w:rFonts w:ascii="Calibri" w:hAnsi="Calibri"/>
          <w:b/>
          <w:color w:val="16382C"/>
          <w:sz w:val="19"/>
        </w:rPr>
        <w:t xml:space="preserve">💻 Code source extrait du projet — </w:t>
      </w:r>
      <w:r>
        <w:rPr>
          <w:rFonts w:ascii="Consolas" w:hAnsi="Consolas"/>
          <w:b/>
          <w:color w:val="B35900"/>
          <w:sz w:val="19"/>
        </w:rPr>
        <w:t>docker-compose.yml</w:t>
      </w:r>
    </w:p>
    <w:tbl>
      <w:tblPr>
        <w:tblW w:type="auto" w:w="0"/>
        <w:jc w:val="center"/>
        <w:tblLayout w:type="fixed"/>
        <w:tblLook w:firstColumn="1" w:firstRow="1" w:lastColumn="0" w:lastRow="0" w:noHBand="0" w:noVBand="1" w:val="04A0"/>
      </w:tblPr>
      <w:tblGrid>
        <w:gridCol w:w="9648"/>
      </w:tblGrid>
      <w:tr>
        <w:tc>
          <w:tcPr>
            <w:tcW w:type="dxa" w:w="9360"/>
            <w:shd w:fill="F7F9FA"/>
            <w:tcBorders>
              <w:top w:val="none"/>
              <w:left w:val="single" w:sz="22" w:space="0" w:color="006699"/>
              <w:bottom w:val="none"/>
              <w:right w:val="none"/>
            </w:tcBorders>
            <w:tcMar>
              <w:top w:w="120" w:type="dxa"/>
              <w:bottom w:w="120" w:type="dxa"/>
              <w:left w:w="180" w:type="dxa"/>
              <w:right w:w="160" w:type="dxa"/>
            </w:tcMar>
          </w:tcPr>
          <w:p>
            <w:pPr>
              <w:spacing w:before="0" w:after="0" w:line="252" w:lineRule="auto"/>
            </w:pPr>
            <w:r>
              <w:rPr>
                <w:rFonts w:ascii="Consolas" w:hAnsi="Consolas"/>
                <w:color w:val="003366"/>
                <w:sz w:val="17"/>
              </w:rPr>
              <w:t>services:</w:t>
            </w:r>
          </w:p>
          <w:p>
            <w:pPr>
              <w:spacing w:before="0" w:after="0" w:line="252" w:lineRule="auto"/>
            </w:pPr>
            <w:r>
              <w:rPr>
                <w:rFonts w:ascii="Consolas" w:hAnsi="Consolas"/>
                <w:i/>
                <w:color w:val="008000"/>
                <w:sz w:val="17"/>
              </w:rPr>
              <w:t xml:space="preserve">  # 1. Microservice ms-patrimoine (TP 2 &amp; TP 3)</w:t>
            </w:r>
          </w:p>
          <w:p>
            <w:pPr>
              <w:spacing w:before="0" w:after="0" w:line="252" w:lineRule="auto"/>
            </w:pPr>
            <w:r>
              <w:rPr>
                <w:rFonts w:ascii="Consolas" w:hAnsi="Consolas"/>
                <w:color w:val="24292E"/>
                <w:sz w:val="17"/>
              </w:rPr>
              <w:t xml:space="preserve">  ms-patrimoine:</w:t>
            </w:r>
          </w:p>
          <w:p>
            <w:pPr>
              <w:spacing w:before="0" w:after="0" w:line="252" w:lineRule="auto"/>
            </w:pPr>
            <w:r>
              <w:rPr>
                <w:rFonts w:ascii="Consolas" w:hAnsi="Consolas"/>
                <w:color w:val="003366"/>
                <w:sz w:val="17"/>
              </w:rPr>
              <w:t xml:space="preserve">    build:</w:t>
            </w:r>
          </w:p>
          <w:p>
            <w:pPr>
              <w:spacing w:before="0" w:after="0" w:line="252" w:lineRule="auto"/>
            </w:pPr>
            <w:r>
              <w:rPr>
                <w:rFonts w:ascii="Consolas" w:hAnsi="Consolas"/>
                <w:color w:val="24292E"/>
                <w:sz w:val="17"/>
              </w:rPr>
              <w:t xml:space="preserve">      context: ./ms-patrimoine</w:t>
            </w:r>
          </w:p>
          <w:p>
            <w:pPr>
              <w:spacing w:before="0" w:after="0" w:line="252" w:lineRule="auto"/>
            </w:pPr>
            <w:r>
              <w:rPr>
                <w:rFonts w:ascii="Consolas" w:hAnsi="Consolas"/>
                <w:color w:val="24292E"/>
                <w:sz w:val="17"/>
              </w:rPr>
              <w:t xml:space="preserve">      dockerfile: Dockerfile</w:t>
            </w:r>
          </w:p>
          <w:p>
            <w:pPr>
              <w:spacing w:before="0" w:after="0" w:line="252" w:lineRule="auto"/>
            </w:pPr>
            <w:r>
              <w:rPr>
                <w:rFonts w:ascii="Consolas" w:hAnsi="Consolas"/>
                <w:color w:val="003366"/>
                <w:sz w:val="17"/>
              </w:rPr>
              <w:t xml:space="preserve">    image: collesyll/patrimoines:v1</w:t>
            </w:r>
          </w:p>
          <w:p>
            <w:pPr>
              <w:spacing w:before="0" w:after="0" w:line="252" w:lineRule="auto"/>
            </w:pPr>
            <w:r>
              <w:rPr>
                <w:rFonts w:ascii="Consolas" w:hAnsi="Consolas"/>
                <w:color w:val="24292E"/>
                <w:sz w:val="17"/>
              </w:rPr>
              <w:t xml:space="preserve">    container_name: ms-patrimoine-container</w:t>
            </w:r>
          </w:p>
          <w:p>
            <w:pPr>
              <w:spacing w:before="0" w:after="0" w:line="252" w:lineRule="auto"/>
            </w:pPr>
            <w:r>
              <w:rPr>
                <w:rFonts w:ascii="Consolas" w:hAnsi="Consolas"/>
                <w:color w:val="003366"/>
                <w:sz w:val="17"/>
              </w:rPr>
              <w:t xml:space="preserve">    ports:</w:t>
            </w:r>
          </w:p>
          <w:p>
            <w:pPr>
              <w:spacing w:before="0" w:after="0" w:line="252" w:lineRule="auto"/>
            </w:pPr>
            <w:r>
              <w:rPr>
                <w:rFonts w:ascii="Consolas" w:hAnsi="Consolas"/>
                <w:color w:val="24292E"/>
                <w:sz w:val="17"/>
              </w:rPr>
              <w:t xml:space="preserve">      - "3001:8081"</w:t>
            </w:r>
          </w:p>
          <w:p>
            <w:pPr>
              <w:spacing w:before="0" w:after="0" w:line="252" w:lineRule="auto"/>
            </w:pPr>
            <w:r>
              <w:rPr>
                <w:rFonts w:ascii="Consolas" w:hAnsi="Consolas"/>
                <w:color w:val="24292E"/>
                <w:sz w:val="17"/>
              </w:rPr>
              <w:t xml:space="preserve">      - "8081:8081"</w:t>
            </w:r>
          </w:p>
          <w:p>
            <w:pPr>
              <w:spacing w:before="0" w:after="0" w:line="252" w:lineRule="auto"/>
            </w:pPr>
            <w:r>
              <w:rPr>
                <w:rFonts w:ascii="Consolas" w:hAnsi="Consolas"/>
                <w:color w:val="24292E"/>
                <w:sz w:val="17"/>
              </w:rPr>
              <w:t xml:space="preserve">    environment:</w:t>
            </w:r>
          </w:p>
          <w:p>
            <w:pPr>
              <w:spacing w:before="0" w:after="0" w:line="252" w:lineRule="auto"/>
            </w:pPr>
            <w:r>
              <w:rPr>
                <w:rFonts w:ascii="Consolas" w:hAnsi="Consolas"/>
                <w:color w:val="24292E"/>
                <w:sz w:val="17"/>
              </w:rPr>
              <w:t xml:space="preserve">      SPRING_DATASOURCE_URL: jdbc:mysql://host.docker.internal:3306/patrimoinedb?useSSL=false&amp;serverTimezone=UTC&amp;allowPublicKeyRetrieval=true</w:t>
            </w:r>
          </w:p>
          <w:p>
            <w:pPr>
              <w:spacing w:before="0" w:after="0" w:line="252" w:lineRule="auto"/>
            </w:pPr>
            <w:r>
              <w:rPr>
                <w:rFonts w:ascii="Consolas" w:hAnsi="Consolas"/>
                <w:color w:val="24292E"/>
                <w:sz w:val="17"/>
              </w:rPr>
              <w:t xml:space="preserve">      SPRING_DATASOURCE_USERNAME: root</w:t>
            </w:r>
          </w:p>
          <w:p>
            <w:pPr>
              <w:spacing w:before="0" w:after="0" w:line="252" w:lineRule="auto"/>
            </w:pPr>
            <w:r>
              <w:rPr>
                <w:rFonts w:ascii="Consolas" w:hAnsi="Consolas"/>
                <w:color w:val="24292E"/>
                <w:sz w:val="17"/>
              </w:rPr>
              <w:t xml:space="preserve">      SPRING_DATASOURCE_PASSWORD: ""</w:t>
            </w:r>
          </w:p>
          <w:p>
            <w:pPr>
              <w:spacing w:before="0" w:after="0" w:line="252" w:lineRule="auto"/>
            </w:pPr>
            <w:r>
              <w:rPr>
                <w:rFonts w:ascii="Consolas" w:hAnsi="Consolas"/>
                <w:color w:val="24292E"/>
                <w:sz w:val="17"/>
              </w:rPr>
              <w:t xml:space="preserve">      SERVER_PORT: 8081</w:t>
            </w:r>
          </w:p>
          <w:p>
            <w:pPr>
              <w:spacing w:before="0" w:after="0" w:line="252" w:lineRule="auto"/>
            </w:pPr>
            <w:r>
              <w:rPr>
                <w:rFonts w:ascii="Consolas" w:hAnsi="Consolas"/>
                <w:color w:val="24292E"/>
                <w:sz w:val="17"/>
              </w:rPr>
              <w:t xml:space="preserve">    extra_hosts:</w:t>
            </w:r>
          </w:p>
          <w:p>
            <w:pPr>
              <w:spacing w:before="0" w:after="0" w:line="252" w:lineRule="auto"/>
            </w:pPr>
            <w:r>
              <w:rPr>
                <w:rFonts w:ascii="Consolas" w:hAnsi="Consolas"/>
                <w:color w:val="24292E"/>
                <w:sz w:val="17"/>
              </w:rPr>
              <w:t xml:space="preserve">      - "host.docker.internal:host-gateway"</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2. Microservice ms-circuit (OpenFeign vers ms-patrimoine)</w:t>
            </w:r>
          </w:p>
          <w:p>
            <w:pPr>
              <w:spacing w:before="0" w:after="0" w:line="252" w:lineRule="auto"/>
            </w:pPr>
            <w:r>
              <w:rPr>
                <w:rFonts w:ascii="Consolas" w:hAnsi="Consolas"/>
                <w:color w:val="24292E"/>
                <w:sz w:val="17"/>
              </w:rPr>
              <w:t xml:space="preserve">  ms-circuit:</w:t>
            </w:r>
          </w:p>
          <w:p>
            <w:pPr>
              <w:spacing w:before="0" w:after="0" w:line="252" w:lineRule="auto"/>
            </w:pPr>
            <w:r>
              <w:rPr>
                <w:rFonts w:ascii="Consolas" w:hAnsi="Consolas"/>
                <w:color w:val="003366"/>
                <w:sz w:val="17"/>
              </w:rPr>
              <w:t xml:space="preserve">    build:</w:t>
            </w:r>
          </w:p>
          <w:p>
            <w:pPr>
              <w:spacing w:before="0" w:after="0" w:line="252" w:lineRule="auto"/>
            </w:pPr>
            <w:r>
              <w:rPr>
                <w:rFonts w:ascii="Consolas" w:hAnsi="Consolas"/>
                <w:color w:val="24292E"/>
                <w:sz w:val="17"/>
              </w:rPr>
              <w:t xml:space="preserve">      context: ./ms-circuit</w:t>
            </w:r>
          </w:p>
          <w:p>
            <w:pPr>
              <w:spacing w:before="0" w:after="0" w:line="252" w:lineRule="auto"/>
            </w:pPr>
            <w:r>
              <w:rPr>
                <w:rFonts w:ascii="Consolas" w:hAnsi="Consolas"/>
                <w:color w:val="24292E"/>
                <w:sz w:val="17"/>
              </w:rPr>
              <w:t xml:space="preserve">      dockerfile: Dockerfile</w:t>
            </w:r>
          </w:p>
          <w:p>
            <w:pPr>
              <w:spacing w:before="0" w:after="0" w:line="252" w:lineRule="auto"/>
            </w:pPr>
            <w:r>
              <w:rPr>
                <w:rFonts w:ascii="Consolas" w:hAnsi="Consolas"/>
                <w:color w:val="003366"/>
                <w:sz w:val="17"/>
              </w:rPr>
              <w:t xml:space="preserve">    image: collesyll/circuits:v1</w:t>
            </w:r>
          </w:p>
          <w:p>
            <w:pPr>
              <w:spacing w:before="0" w:after="0" w:line="252" w:lineRule="auto"/>
            </w:pPr>
            <w:r>
              <w:rPr>
                <w:rFonts w:ascii="Consolas" w:hAnsi="Consolas"/>
                <w:color w:val="24292E"/>
                <w:sz w:val="17"/>
              </w:rPr>
              <w:t xml:space="preserve">    container_name: ms-circuit-container</w:t>
            </w:r>
          </w:p>
          <w:p>
            <w:pPr>
              <w:spacing w:before="0" w:after="0" w:line="252" w:lineRule="auto"/>
            </w:pPr>
            <w:r>
              <w:rPr>
                <w:rFonts w:ascii="Consolas" w:hAnsi="Consolas"/>
                <w:color w:val="24292E"/>
                <w:sz w:val="17"/>
              </w:rPr>
              <w:t xml:space="preserve">    depends_on:</w:t>
            </w:r>
          </w:p>
          <w:p>
            <w:pPr>
              <w:spacing w:before="0" w:after="0" w:line="252" w:lineRule="auto"/>
            </w:pPr>
            <w:r>
              <w:rPr>
                <w:rFonts w:ascii="Consolas" w:hAnsi="Consolas"/>
                <w:color w:val="24292E"/>
                <w:sz w:val="17"/>
              </w:rPr>
              <w:t xml:space="preserve">      - ms-patrimoine</w:t>
            </w:r>
          </w:p>
          <w:p>
            <w:pPr>
              <w:spacing w:before="0" w:after="0" w:line="252" w:lineRule="auto"/>
            </w:pPr>
            <w:r>
              <w:rPr>
                <w:rFonts w:ascii="Consolas" w:hAnsi="Consolas"/>
                <w:color w:val="003366"/>
                <w:sz w:val="17"/>
              </w:rPr>
              <w:t xml:space="preserve">    ports:</w:t>
            </w:r>
          </w:p>
          <w:p>
            <w:pPr>
              <w:spacing w:before="0" w:after="0" w:line="252" w:lineRule="auto"/>
            </w:pPr>
            <w:r>
              <w:rPr>
                <w:rFonts w:ascii="Consolas" w:hAnsi="Consolas"/>
                <w:color w:val="24292E"/>
                <w:sz w:val="17"/>
              </w:rPr>
              <w:t xml:space="preserve">      - "3002:8082"</w:t>
            </w:r>
          </w:p>
          <w:p>
            <w:pPr>
              <w:spacing w:before="0" w:after="0" w:line="252" w:lineRule="auto"/>
            </w:pPr>
            <w:r>
              <w:rPr>
                <w:rFonts w:ascii="Consolas" w:hAnsi="Consolas"/>
                <w:color w:val="24292E"/>
                <w:sz w:val="17"/>
              </w:rPr>
              <w:t xml:space="preserve">      - "8082:8082"</w:t>
            </w:r>
          </w:p>
          <w:p>
            <w:pPr>
              <w:spacing w:before="0" w:after="0" w:line="252" w:lineRule="auto"/>
            </w:pPr>
            <w:r>
              <w:rPr>
                <w:rFonts w:ascii="Consolas" w:hAnsi="Consolas"/>
                <w:color w:val="24292E"/>
                <w:sz w:val="17"/>
              </w:rPr>
              <w:t xml:space="preserve">    environment:</w:t>
            </w:r>
          </w:p>
          <w:p>
            <w:pPr>
              <w:spacing w:before="0" w:after="0" w:line="252" w:lineRule="auto"/>
            </w:pPr>
            <w:r>
              <w:rPr>
                <w:rFonts w:ascii="Consolas" w:hAnsi="Consolas"/>
                <w:color w:val="24292E"/>
                <w:sz w:val="17"/>
              </w:rPr>
              <w:t xml:space="preserve">      SPRING_DATASOURCE_URL: jdbc:mysql://host.docker.internal:3306/patrimoinedb?useSSL=false&amp;serverTimezone=UTC&amp;allowPublicKeyRetrieval=true</w:t>
            </w:r>
          </w:p>
          <w:p>
            <w:pPr>
              <w:spacing w:before="0" w:after="0" w:line="252" w:lineRule="auto"/>
            </w:pPr>
            <w:r>
              <w:rPr>
                <w:rFonts w:ascii="Consolas" w:hAnsi="Consolas"/>
                <w:color w:val="24292E"/>
                <w:sz w:val="17"/>
              </w:rPr>
              <w:t xml:space="preserve">      SPRING_DATASOURCE_USERNAME: root</w:t>
            </w:r>
          </w:p>
          <w:p>
            <w:pPr>
              <w:spacing w:before="0" w:after="0" w:line="252" w:lineRule="auto"/>
            </w:pPr>
            <w:r>
              <w:rPr>
                <w:rFonts w:ascii="Consolas" w:hAnsi="Consolas"/>
                <w:color w:val="24292E"/>
                <w:sz w:val="17"/>
              </w:rPr>
              <w:t xml:space="preserve">      SPRING_DATASOURCE_PASSWORD: ""</w:t>
            </w:r>
          </w:p>
          <w:p>
            <w:pPr>
              <w:spacing w:before="0" w:after="0" w:line="252" w:lineRule="auto"/>
            </w:pPr>
            <w:r>
              <w:rPr>
                <w:rFonts w:ascii="Consolas" w:hAnsi="Consolas"/>
                <w:color w:val="24292E"/>
                <w:sz w:val="17"/>
              </w:rPr>
              <w:t xml:space="preserve">      SERVER_PORT: 8082</w:t>
            </w:r>
          </w:p>
          <w:p>
            <w:pPr>
              <w:spacing w:before="0" w:after="0" w:line="252" w:lineRule="auto"/>
            </w:pPr>
            <w:r>
              <w:rPr>
                <w:rFonts w:ascii="Consolas" w:hAnsi="Consolas"/>
                <w:color w:val="24292E"/>
                <w:sz w:val="17"/>
              </w:rPr>
              <w:t xml:space="preserve">      MS_PATRIMOINE_URL: http://ms-patrimoine:8081</w:t>
            </w:r>
          </w:p>
          <w:p>
            <w:pPr>
              <w:spacing w:before="0" w:after="0" w:line="252" w:lineRule="auto"/>
            </w:pPr>
            <w:r>
              <w:rPr>
                <w:rFonts w:ascii="Consolas" w:hAnsi="Consolas"/>
                <w:color w:val="24292E"/>
                <w:sz w:val="17"/>
              </w:rPr>
              <w:t xml:space="preserve">    extra_hosts:</w:t>
            </w:r>
          </w:p>
          <w:p>
            <w:pPr>
              <w:spacing w:before="0" w:after="0" w:line="252" w:lineRule="auto"/>
            </w:pPr>
            <w:r>
              <w:rPr>
                <w:rFonts w:ascii="Consolas" w:hAnsi="Consolas"/>
                <w:color w:val="24292E"/>
                <w:sz w:val="17"/>
              </w:rPr>
              <w:t xml:space="preserve">      - "host.docker.internal:host-gateway"</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3. Microservice ms-evenement</w:t>
            </w:r>
          </w:p>
          <w:p>
            <w:pPr>
              <w:spacing w:before="0" w:after="0" w:line="252" w:lineRule="auto"/>
            </w:pPr>
            <w:r>
              <w:rPr>
                <w:rFonts w:ascii="Consolas" w:hAnsi="Consolas"/>
                <w:color w:val="24292E"/>
                <w:sz w:val="17"/>
              </w:rPr>
              <w:t xml:space="preserve">  ms-evenement:</w:t>
            </w:r>
          </w:p>
          <w:p>
            <w:pPr>
              <w:spacing w:before="0" w:after="0" w:line="252" w:lineRule="auto"/>
            </w:pPr>
            <w:r>
              <w:rPr>
                <w:rFonts w:ascii="Consolas" w:hAnsi="Consolas"/>
                <w:color w:val="003366"/>
                <w:sz w:val="17"/>
              </w:rPr>
              <w:t xml:space="preserve">    build: { context: ./ms-evenement, dockerfile: Dockerfile }</w:t>
            </w:r>
          </w:p>
          <w:p>
            <w:pPr>
              <w:spacing w:before="0" w:after="0" w:line="252" w:lineRule="auto"/>
            </w:pPr>
            <w:r>
              <w:rPr>
                <w:rFonts w:ascii="Consolas" w:hAnsi="Consolas"/>
                <w:color w:val="003366"/>
                <w:sz w:val="17"/>
              </w:rPr>
              <w:t xml:space="preserve">    image: collesyll/evenements:v1</w:t>
            </w:r>
          </w:p>
          <w:p>
            <w:pPr>
              <w:spacing w:before="0" w:after="0" w:line="252" w:lineRule="auto"/>
            </w:pPr>
            <w:r>
              <w:rPr>
                <w:rFonts w:ascii="Consolas" w:hAnsi="Consolas"/>
                <w:color w:val="24292E"/>
                <w:sz w:val="17"/>
              </w:rPr>
              <w:t xml:space="preserve">    container_name: ms-evenement-container</w:t>
            </w:r>
          </w:p>
          <w:p>
            <w:pPr>
              <w:spacing w:before="0" w:after="0" w:line="252" w:lineRule="auto"/>
            </w:pPr>
            <w:r>
              <w:rPr>
                <w:rFonts w:ascii="Consolas" w:hAnsi="Consolas"/>
                <w:color w:val="003366"/>
                <w:sz w:val="17"/>
              </w:rPr>
              <w:t xml:space="preserve">    ports: [ "3003:8083", "8083:8083" ]</w:t>
            </w:r>
          </w:p>
          <w:p>
            <w:pPr>
              <w:spacing w:before="0" w:after="0" w:line="252" w:lineRule="auto"/>
            </w:pPr>
            <w:r>
              <w:rPr>
                <w:rFonts w:ascii="Consolas" w:hAnsi="Consolas"/>
                <w:color w:val="24292E"/>
                <w:sz w:val="17"/>
              </w:rPr>
              <w:t xml:space="preserve">    extra_hosts: [ "host.docker.internal:host-gateway"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4. Microservice ms-reservation</w:t>
            </w:r>
          </w:p>
          <w:p>
            <w:pPr>
              <w:spacing w:before="0" w:after="0" w:line="252" w:lineRule="auto"/>
            </w:pPr>
            <w:r>
              <w:rPr>
                <w:rFonts w:ascii="Consolas" w:hAnsi="Consolas"/>
                <w:color w:val="24292E"/>
                <w:sz w:val="17"/>
              </w:rPr>
              <w:t xml:space="preserve">  ms-reservation:</w:t>
            </w:r>
          </w:p>
          <w:p>
            <w:pPr>
              <w:spacing w:before="0" w:after="0" w:line="252" w:lineRule="auto"/>
            </w:pPr>
            <w:r>
              <w:rPr>
                <w:rFonts w:ascii="Consolas" w:hAnsi="Consolas"/>
                <w:color w:val="003366"/>
                <w:sz w:val="17"/>
              </w:rPr>
              <w:t xml:space="preserve">    build: { context: ./ms-reservation, dockerfile: Dockerfile }</w:t>
            </w:r>
          </w:p>
          <w:p>
            <w:pPr>
              <w:spacing w:before="0" w:after="0" w:line="252" w:lineRule="auto"/>
            </w:pPr>
            <w:r>
              <w:rPr>
                <w:rFonts w:ascii="Consolas" w:hAnsi="Consolas"/>
                <w:color w:val="003366"/>
                <w:sz w:val="17"/>
              </w:rPr>
              <w:t xml:space="preserve">    image: collesyll/reservations:v1</w:t>
            </w:r>
          </w:p>
          <w:p>
            <w:pPr>
              <w:spacing w:before="0" w:after="0" w:line="252" w:lineRule="auto"/>
            </w:pPr>
            <w:r>
              <w:rPr>
                <w:rFonts w:ascii="Consolas" w:hAnsi="Consolas"/>
                <w:color w:val="24292E"/>
                <w:sz w:val="17"/>
              </w:rPr>
              <w:t xml:space="preserve">    container_name: ms-reservation-container</w:t>
            </w:r>
          </w:p>
          <w:p>
            <w:pPr>
              <w:spacing w:before="0" w:after="0" w:line="252" w:lineRule="auto"/>
            </w:pPr>
            <w:r>
              <w:rPr>
                <w:rFonts w:ascii="Consolas" w:hAnsi="Consolas"/>
                <w:color w:val="003366"/>
                <w:sz w:val="17"/>
              </w:rPr>
              <w:t xml:space="preserve">    ports: [ "3004:8084", "8084:8084" ]</w:t>
            </w:r>
          </w:p>
          <w:p>
            <w:pPr>
              <w:spacing w:before="0" w:after="0" w:line="252" w:lineRule="auto"/>
            </w:pPr>
            <w:r>
              <w:rPr>
                <w:rFonts w:ascii="Consolas" w:hAnsi="Consolas"/>
                <w:color w:val="24292E"/>
                <w:sz w:val="17"/>
              </w:rPr>
              <w:t xml:space="preserve">    extra_hosts: [ "host.docker.internal:host-gateway" ]</w:t>
            </w:r>
          </w:p>
          <w:p>
            <w:pPr>
              <w:spacing w:before="0" w:after="0" w:line="252" w:lineRule="auto"/>
            </w:pPr>
            <w:r>
              <w:rPr>
                <w:rFonts w:ascii="Consolas" w:hAnsi="Consolas"/>
                <w:color w:val="24292E"/>
                <w:sz w:val="17"/>
              </w:rPr>
            </w:r>
          </w:p>
          <w:p>
            <w:pPr>
              <w:spacing w:before="0" w:after="0" w:line="252" w:lineRule="auto"/>
            </w:pPr>
            <w:r>
              <w:rPr>
                <w:rFonts w:ascii="Consolas" w:hAnsi="Consolas"/>
                <w:i/>
                <w:color w:val="008000"/>
                <w:sz w:val="17"/>
              </w:rPr>
              <w:t xml:space="preserve">  # 5. Portail Web Frontend Touriste &amp; Conservateur</w:t>
            </w:r>
          </w:p>
          <w:p>
            <w:pPr>
              <w:spacing w:before="0" w:after="0" w:line="252" w:lineRule="auto"/>
            </w:pPr>
            <w:r>
              <w:rPr>
                <w:rFonts w:ascii="Consolas" w:hAnsi="Consolas"/>
                <w:color w:val="24292E"/>
                <w:sz w:val="17"/>
              </w:rPr>
              <w:t xml:space="preserve">  patrimoine-touristique-web:</w:t>
            </w:r>
          </w:p>
          <w:p>
            <w:pPr>
              <w:spacing w:before="0" w:after="0" w:line="252" w:lineRule="auto"/>
            </w:pPr>
            <w:r>
              <w:rPr>
                <w:rFonts w:ascii="Consolas" w:hAnsi="Consolas"/>
                <w:color w:val="003366"/>
                <w:sz w:val="17"/>
              </w:rPr>
              <w:t xml:space="preserve">    build: { context: ./patrimoine-touristique-web, dockerfile: Dockerfile }</w:t>
            </w:r>
          </w:p>
          <w:p>
            <w:pPr>
              <w:spacing w:before="0" w:after="0" w:line="252" w:lineRule="auto"/>
            </w:pPr>
            <w:r>
              <w:rPr>
                <w:rFonts w:ascii="Consolas" w:hAnsi="Consolas"/>
                <w:color w:val="003366"/>
                <w:sz w:val="17"/>
              </w:rPr>
              <w:t xml:space="preserve">    image: collesyll/patrimoine-web:v1</w:t>
            </w:r>
          </w:p>
          <w:p>
            <w:pPr>
              <w:spacing w:before="0" w:after="0" w:line="252" w:lineRule="auto"/>
            </w:pPr>
            <w:r>
              <w:rPr>
                <w:rFonts w:ascii="Consolas" w:hAnsi="Consolas"/>
                <w:color w:val="24292E"/>
                <w:sz w:val="17"/>
              </w:rPr>
              <w:t xml:space="preserve">    container_name: patrimoine-web-container</w:t>
            </w:r>
          </w:p>
          <w:p>
            <w:pPr>
              <w:spacing w:before="0" w:after="0" w:line="252" w:lineRule="auto"/>
            </w:pPr>
            <w:r>
              <w:rPr>
                <w:rFonts w:ascii="Consolas" w:hAnsi="Consolas"/>
                <w:color w:val="003366"/>
                <w:sz w:val="17"/>
              </w:rPr>
              <w:t xml:space="preserve">    ports: [ "8080:8080" ]</w:t>
            </w:r>
          </w:p>
          <w:p>
            <w:pPr>
              <w:spacing w:before="0" w:after="0" w:line="252" w:lineRule="auto"/>
            </w:pPr>
            <w:r>
              <w:rPr>
                <w:rFonts w:ascii="Consolas" w:hAnsi="Consolas"/>
                <w:color w:val="24292E"/>
                <w:sz w:val="17"/>
              </w:rPr>
              <w:t xml:space="preserve">    extra_hosts: [ "host.docker.internal:host-gateway" ]</w:t>
            </w:r>
          </w:p>
        </w:tc>
      </w:tr>
    </w:tbl>
    <w:p>
      <w:pPr>
        <w:spacing w:after="120"/>
      </w:pPr>
    </w:p>
    <w:p>
      <w:pPr>
        <w:keepNext/>
        <w:spacing w:before="160" w:after="60"/>
      </w:pPr>
      <w:r>
        <w:rPr>
          <w:rFonts w:ascii="Calibri" w:hAnsi="Calibri"/>
          <w:b/>
          <w:color w:val="1E3A8A"/>
          <w:sz w:val="22"/>
        </w:rPr>
        <w:t>C. Cycle Opérationnel de Déploiement</w:t>
      </w:r>
    </w:p>
    <w:p>
      <w:pPr>
        <w:spacing w:before="0" w:after="80" w:line="276" w:lineRule="auto"/>
        <w:jc w:val="both"/>
      </w:pPr>
      <w:r>
        <w:rPr>
          <w:rFonts w:ascii="Calibri" w:hAnsi="Calibri"/>
          <w:color w:val="2E343A"/>
          <w:sz w:val="20"/>
        </w:rPr>
        <w:t>Le cycle complet de packaging et de démarrage du cluster distribué s'exécute en deux commandes standards :</w:t>
      </w:r>
    </w:p>
    <w:p>
      <w:pPr>
        <w:spacing w:before="0" w:after="80" w:line="276" w:lineRule="auto"/>
        <w:jc w:val="both"/>
      </w:pPr>
      <w:r>
        <w:rPr>
          <w:rFonts w:ascii="Calibri" w:hAnsi="Calibri"/>
          <w:b/>
          <w:color w:val="202428"/>
          <w:sz w:val="20"/>
        </w:rPr>
        <w:t xml:space="preserve">1. Compilation et empaquetage Maven : </w:t>
      </w:r>
      <w:r>
        <w:rPr>
          <w:rFonts w:ascii="Calibri" w:hAnsi="Calibri"/>
          <w:color w:val="2E343A"/>
          <w:sz w:val="20"/>
        </w:rPr>
        <w:t>mvn clean package -DskipTests  (Génération des fichiers JAR dans chaque dossier target)</w:t>
      </w:r>
    </w:p>
    <w:p>
      <w:pPr>
        <w:spacing w:before="0" w:after="80" w:line="276" w:lineRule="auto"/>
        <w:jc w:val="both"/>
      </w:pPr>
      <w:r>
        <w:rPr>
          <w:rFonts w:ascii="Calibri" w:hAnsi="Calibri"/>
          <w:b/>
          <w:color w:val="202428"/>
          <w:sz w:val="20"/>
        </w:rPr>
        <w:t xml:space="preserve">2. Construction et instanciation Docker : </w:t>
      </w:r>
      <w:r>
        <w:rPr>
          <w:rFonts w:ascii="Calibri" w:hAnsi="Calibri"/>
          <w:color w:val="2E343A"/>
          <w:sz w:val="20"/>
        </w:rPr>
        <w:t>docker-compose up --build -d  (Construction des images 'collesyll/*:v1' et démarrage en arrière-plan)</w:t>
      </w:r>
    </w:p>
    <w:p>
      <w:pPr>
        <w:spacing w:before="0" w:after="80" w:line="276" w:lineRule="auto"/>
        <w:jc w:val="both"/>
      </w:pPr>
      <w:r>
        <w:rPr>
          <w:rFonts w:ascii="Calibri" w:hAnsi="Calibri"/>
          <w:b/>
          <w:color w:val="202428"/>
          <w:sz w:val="20"/>
        </w:rPr>
        <w:t xml:space="preserve">3. Contrôle de santé des conteneurs : </w:t>
      </w:r>
      <w:r>
        <w:rPr>
          <w:rFonts w:ascii="Calibri" w:hAnsi="Calibri"/>
          <w:color w:val="2E343A"/>
          <w:sz w:val="20"/>
        </w:rPr>
        <w:t>docker-compose ps  (Vérification du statut 'Up' et des ports exposés)</w:t>
      </w:r>
    </w:p>
    <w:p>
      <w:r>
        <w:br w:type="page"/>
      </w:r>
    </w:p>
    <w:p>
      <w:pPr>
        <w:keepNext/>
        <w:spacing w:before="360" w:after="120"/>
      </w:pPr>
      <w:r>
        <w:rPr>
          <w:rFonts w:ascii="Calibri" w:hAnsi="Calibri"/>
          <w:b/>
          <w:color w:val="16382C"/>
          <w:sz w:val="29"/>
        </w:rPr>
        <w:t>III. CONCLUSION GÉNÉRALE &amp; BILAN TECHNIQUE</w:t>
      </w:r>
    </w:p>
    <w:p>
      <w:pPr>
        <w:keepNext/>
        <w:spacing w:before="240" w:after="80"/>
      </w:pPr>
      <w:r>
        <w:rPr>
          <w:rFonts w:ascii="Calibri" w:hAnsi="Calibri"/>
          <w:b/>
          <w:color w:val="B35900"/>
          <w:sz w:val="25"/>
        </w:rPr>
        <w:t>3.1 Tableau Comparatif : Monolithe vs Architecture Microservices</w:t>
      </w:r>
    </w:p>
    <w:p>
      <w:pPr>
        <w:spacing w:before="0" w:after="80" w:line="276" w:lineRule="auto"/>
        <w:jc w:val="both"/>
      </w:pPr>
      <w:r>
        <w:rPr>
          <w:rFonts w:ascii="Calibri" w:hAnsi="Calibri"/>
          <w:color w:val="2E343A"/>
          <w:sz w:val="20"/>
        </w:rPr>
        <w:t>Au terme de cette transition architecturale, le tableau synthétique ci-dessous met en lumière les gains qualitatifs majeurs apportés par les microservices par rapport au monolithe d'origine :</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6382C"/>
            <w:tcMar>
              <w:top w:w="100" w:type="dxa"/>
              <w:bottom w:w="100" w:type="dxa"/>
              <w:left w:w="120" w:type="dxa"/>
              <w:right w:w="120" w:type="dxa"/>
            </w:tcMar>
          </w:tcPr>
          <w:p>
            <w:r>
              <w:rPr>
                <w:rFonts w:ascii="Calibri" w:hAnsi="Calibri"/>
                <w:b/>
                <w:color w:val="FFFFFF"/>
                <w:sz w:val="19"/>
              </w:rPr>
              <w:t>Critère de Génie Logiciel</w:t>
            </w:r>
          </w:p>
        </w:tc>
        <w:tc>
          <w:tcPr>
            <w:tcW w:type="dxa" w:w="3312"/>
            <w:shd w:fill="16382C"/>
            <w:tcMar>
              <w:top w:w="100" w:type="dxa"/>
              <w:bottom w:w="100" w:type="dxa"/>
              <w:left w:w="120" w:type="dxa"/>
              <w:right w:w="120" w:type="dxa"/>
            </w:tcMar>
          </w:tcPr>
          <w:p>
            <w:r>
              <w:rPr>
                <w:rFonts w:ascii="Calibri" w:hAnsi="Calibri"/>
                <w:b/>
                <w:color w:val="FFFFFF"/>
                <w:sz w:val="19"/>
              </w:rPr>
              <w:t>Ancienne Approche (Monolithe)</w:t>
            </w:r>
          </w:p>
        </w:tc>
        <w:tc>
          <w:tcPr>
            <w:tcW w:type="dxa" w:w="3456"/>
            <w:shd w:fill="16382C"/>
            <w:tcMar>
              <w:top w:w="100" w:type="dxa"/>
              <w:bottom w:w="100" w:type="dxa"/>
              <w:left w:w="120" w:type="dxa"/>
              <w:right w:w="120" w:type="dxa"/>
            </w:tcMar>
          </w:tcPr>
          <w:p>
            <w:r>
              <w:rPr>
                <w:rFonts w:ascii="Calibri" w:hAnsi="Calibri"/>
                <w:b/>
                <w:color w:val="FFFFFF"/>
                <w:sz w:val="19"/>
              </w:rPr>
              <w:t>Nouvelle Approche (Microservices TP1-TP3)</w:t>
            </w:r>
          </w:p>
        </w:tc>
      </w:tr>
      <w:tr>
        <w:tc>
          <w:tcPr>
            <w:tcW w:type="dxa" w:w="2592"/>
            <w:tcMar>
              <w:top w:w="80" w:type="dxa"/>
              <w:bottom w:w="80" w:type="dxa"/>
              <w:left w:w="120" w:type="dxa"/>
              <w:right w:w="120" w:type="dxa"/>
            </w:tcMar>
          </w:tcPr>
          <w:p>
            <w:r>
              <w:rPr>
                <w:rFonts w:ascii="Calibri" w:hAnsi="Calibri"/>
                <w:b/>
                <w:color w:val="16382C"/>
                <w:sz w:val="18"/>
              </w:rPr>
              <w:t>Découplage &amp; Autonomie</w:t>
            </w:r>
          </w:p>
        </w:tc>
        <w:tc>
          <w:tcPr>
            <w:tcW w:type="dxa" w:w="3312"/>
            <w:tcMar>
              <w:top w:w="80" w:type="dxa"/>
              <w:bottom w:w="80" w:type="dxa"/>
              <w:left w:w="120" w:type="dxa"/>
              <w:right w:w="120" w:type="dxa"/>
            </w:tcMar>
          </w:tcPr>
          <w:p>
            <w:r>
              <w:rPr>
                <w:rFonts w:ascii="Calibri" w:hAnsi="Calibri"/>
                <w:sz w:val="18"/>
              </w:rPr>
              <w:t>Fort couplage interne, base partagée unique.</w:t>
            </w:r>
          </w:p>
        </w:tc>
        <w:tc>
          <w:tcPr>
            <w:tcW w:type="dxa" w:w="3456"/>
            <w:tcMar>
              <w:top w:w="80" w:type="dxa"/>
              <w:bottom w:w="80" w:type="dxa"/>
              <w:left w:w="120" w:type="dxa"/>
              <w:right w:w="120" w:type="dxa"/>
            </w:tcMar>
          </w:tcPr>
          <w:p>
            <w:r>
              <w:rPr>
                <w:rFonts w:ascii="Calibri" w:hAnsi="Calibri"/>
                <w:sz w:val="18"/>
              </w:rPr>
              <w:t>Services autonomes, contrats d'API découplés par DTO.</w:t>
            </w:r>
          </w:p>
        </w:tc>
      </w:tr>
      <w:tr>
        <w:tc>
          <w:tcPr>
            <w:tcW w:type="dxa" w:w="2592"/>
            <w:shd w:fill="F9FBFA"/>
            <w:tcMar>
              <w:top w:w="80" w:type="dxa"/>
              <w:bottom w:w="80" w:type="dxa"/>
              <w:left w:w="120" w:type="dxa"/>
              <w:right w:w="120" w:type="dxa"/>
            </w:tcMar>
          </w:tcPr>
          <w:p>
            <w:r>
              <w:rPr>
                <w:rFonts w:ascii="Calibri" w:hAnsi="Calibri"/>
                <w:b/>
                <w:color w:val="16382C"/>
                <w:sz w:val="18"/>
              </w:rPr>
              <w:t>Performance &amp; Mapping</w:t>
            </w:r>
          </w:p>
        </w:tc>
        <w:tc>
          <w:tcPr>
            <w:tcW w:type="dxa" w:w="3312"/>
            <w:shd w:fill="F9FBFA"/>
            <w:tcMar>
              <w:top w:w="80" w:type="dxa"/>
              <w:bottom w:w="80" w:type="dxa"/>
              <w:left w:w="120" w:type="dxa"/>
              <w:right w:w="120" w:type="dxa"/>
            </w:tcMar>
          </w:tcPr>
          <w:p>
            <w:r>
              <w:rPr>
                <w:rFonts w:ascii="Calibri" w:hAnsi="Calibri"/>
                <w:sz w:val="18"/>
              </w:rPr>
              <w:t>Conversions manuelles ou jointures SQL lourdes.</w:t>
            </w:r>
          </w:p>
        </w:tc>
        <w:tc>
          <w:tcPr>
            <w:tcW w:type="dxa" w:w="3456"/>
            <w:shd w:fill="F9FBFA"/>
            <w:tcMar>
              <w:top w:w="80" w:type="dxa"/>
              <w:bottom w:w="80" w:type="dxa"/>
              <w:left w:w="120" w:type="dxa"/>
              <w:right w:w="120" w:type="dxa"/>
            </w:tcMar>
          </w:tcPr>
          <w:p>
            <w:r>
              <w:rPr>
                <w:rFonts w:ascii="Calibri" w:hAnsi="Calibri"/>
                <w:sz w:val="18"/>
              </w:rPr>
              <w:t>MapStruct ultra-rapide à la compilation, OpenFeign synchrone.</w:t>
            </w:r>
          </w:p>
        </w:tc>
      </w:tr>
      <w:tr>
        <w:tc>
          <w:tcPr>
            <w:tcW w:type="dxa" w:w="2592"/>
            <w:tcMar>
              <w:top w:w="80" w:type="dxa"/>
              <w:bottom w:w="80" w:type="dxa"/>
              <w:left w:w="120" w:type="dxa"/>
              <w:right w:w="120" w:type="dxa"/>
            </w:tcMar>
          </w:tcPr>
          <w:p>
            <w:r>
              <w:rPr>
                <w:rFonts w:ascii="Calibri" w:hAnsi="Calibri"/>
                <w:b/>
                <w:color w:val="16382C"/>
                <w:sz w:val="18"/>
              </w:rPr>
              <w:t>Résilience &amp; Tolérance aux pannes</w:t>
            </w:r>
          </w:p>
        </w:tc>
        <w:tc>
          <w:tcPr>
            <w:tcW w:type="dxa" w:w="3312"/>
            <w:tcMar>
              <w:top w:w="80" w:type="dxa"/>
              <w:bottom w:w="80" w:type="dxa"/>
              <w:left w:w="120" w:type="dxa"/>
              <w:right w:w="120" w:type="dxa"/>
            </w:tcMar>
          </w:tcPr>
          <w:p>
            <w:r>
              <w:rPr>
                <w:rFonts w:ascii="Calibri" w:hAnsi="Calibri"/>
                <w:sz w:val="18"/>
              </w:rPr>
              <w:t>Un crash dans un module fait tomber tout le site.</w:t>
            </w:r>
          </w:p>
        </w:tc>
        <w:tc>
          <w:tcPr>
            <w:tcW w:type="dxa" w:w="3456"/>
            <w:tcMar>
              <w:top w:w="80" w:type="dxa"/>
              <w:bottom w:w="80" w:type="dxa"/>
              <w:left w:w="120" w:type="dxa"/>
              <w:right w:w="120" w:type="dxa"/>
            </w:tcMar>
          </w:tcPr>
          <w:p>
            <w:r>
              <w:rPr>
                <w:rFonts w:ascii="Calibri" w:hAnsi="Calibri"/>
                <w:sz w:val="18"/>
              </w:rPr>
              <w:t>Pannes isolées : fallback local si un service est inaccessible.</w:t>
            </w:r>
          </w:p>
        </w:tc>
      </w:tr>
      <w:tr>
        <w:tc>
          <w:tcPr>
            <w:tcW w:type="dxa" w:w="2592"/>
            <w:shd w:fill="F9FBFA"/>
            <w:tcMar>
              <w:top w:w="80" w:type="dxa"/>
              <w:bottom w:w="80" w:type="dxa"/>
              <w:left w:w="120" w:type="dxa"/>
              <w:right w:w="120" w:type="dxa"/>
            </w:tcMar>
          </w:tcPr>
          <w:p>
            <w:r>
              <w:rPr>
                <w:rFonts w:ascii="Calibri" w:hAnsi="Calibri"/>
                <w:b/>
                <w:color w:val="16382C"/>
                <w:sz w:val="18"/>
              </w:rPr>
              <w:t>Scalabilité &amp; Déploiement</w:t>
            </w:r>
          </w:p>
        </w:tc>
        <w:tc>
          <w:tcPr>
            <w:tcW w:type="dxa" w:w="3312"/>
            <w:shd w:fill="F9FBFA"/>
            <w:tcMar>
              <w:top w:w="80" w:type="dxa"/>
              <w:bottom w:w="80" w:type="dxa"/>
              <w:left w:w="120" w:type="dxa"/>
              <w:right w:w="120" w:type="dxa"/>
            </w:tcMar>
          </w:tcPr>
          <w:p>
            <w:r>
              <w:rPr>
                <w:rFonts w:ascii="Calibri" w:hAnsi="Calibri"/>
                <w:sz w:val="18"/>
              </w:rPr>
              <w:t>Déploiement lourd et intégral du JAR/WAR.</w:t>
            </w:r>
          </w:p>
        </w:tc>
        <w:tc>
          <w:tcPr>
            <w:tcW w:type="dxa" w:w="3456"/>
            <w:shd w:fill="F9FBFA"/>
            <w:tcMar>
              <w:top w:w="80" w:type="dxa"/>
              <w:bottom w:w="80" w:type="dxa"/>
              <w:left w:w="120" w:type="dxa"/>
              <w:right w:w="120" w:type="dxa"/>
            </w:tcMar>
          </w:tcPr>
          <w:p>
            <w:r>
              <w:rPr>
                <w:rFonts w:ascii="Calibri" w:hAnsi="Calibri"/>
                <w:sz w:val="18"/>
              </w:rPr>
              <w:t>Scalabilité granulaire service par service avec Docker Compose.</w:t>
            </w:r>
          </w:p>
        </w:tc>
      </w:tr>
      <w:tr>
        <w:tc>
          <w:tcPr>
            <w:tcW w:type="dxa" w:w="2592"/>
            <w:tcMar>
              <w:top w:w="80" w:type="dxa"/>
              <w:bottom w:w="80" w:type="dxa"/>
              <w:left w:w="120" w:type="dxa"/>
              <w:right w:w="120" w:type="dxa"/>
            </w:tcMar>
          </w:tcPr>
          <w:p>
            <w:r>
              <w:rPr>
                <w:rFonts w:ascii="Calibri" w:hAnsi="Calibri"/>
                <w:b/>
                <w:color w:val="16382C"/>
                <w:sz w:val="18"/>
              </w:rPr>
              <w:t>Portabilité de l'environnement</w:t>
            </w:r>
          </w:p>
        </w:tc>
        <w:tc>
          <w:tcPr>
            <w:tcW w:type="dxa" w:w="3312"/>
            <w:tcMar>
              <w:top w:w="80" w:type="dxa"/>
              <w:bottom w:w="80" w:type="dxa"/>
              <w:left w:w="120" w:type="dxa"/>
              <w:right w:w="120" w:type="dxa"/>
            </w:tcMar>
          </w:tcPr>
          <w:p>
            <w:r>
              <w:rPr>
                <w:rFonts w:ascii="Calibri" w:hAnsi="Calibri"/>
                <w:sz w:val="18"/>
              </w:rPr>
              <w:t>Dépend de la configuration de la machine hôte.</w:t>
            </w:r>
          </w:p>
        </w:tc>
        <w:tc>
          <w:tcPr>
            <w:tcW w:type="dxa" w:w="3456"/>
            <w:tcMar>
              <w:top w:w="80" w:type="dxa"/>
              <w:bottom w:w="80" w:type="dxa"/>
              <w:left w:w="120" w:type="dxa"/>
              <w:right w:w="120" w:type="dxa"/>
            </w:tcMar>
          </w:tcPr>
          <w:p>
            <w:r>
              <w:rPr>
                <w:rFonts w:ascii="Calibri" w:hAnsi="Calibri"/>
                <w:sz w:val="18"/>
              </w:rPr>
              <w:t>Conteneurs standardisés 'collesyll/*:v1' (Java 21 LTS).</w:t>
            </w:r>
          </w:p>
        </w:tc>
      </w:tr>
    </w:tbl>
    <w:p>
      <w:pPr>
        <w:spacing w:after="200"/>
      </w:pPr>
    </w:p>
    <w:p>
      <w:pPr>
        <w:keepNext/>
        <w:spacing w:before="240" w:after="80"/>
      </w:pPr>
      <w:r>
        <w:rPr>
          <w:rFonts w:ascii="Calibri" w:hAnsi="Calibri"/>
          <w:b/>
          <w:color w:val="B35900"/>
          <w:sz w:val="25"/>
        </w:rPr>
        <w:t>3.2 Synthèse des Compétences Acquises &amp; Perspectives</w:t>
      </w:r>
    </w:p>
    <w:p>
      <w:pPr>
        <w:spacing w:before="0" w:after="80" w:line="276" w:lineRule="auto"/>
        <w:jc w:val="both"/>
      </w:pPr>
      <w:r>
        <w:rPr>
          <w:rFonts w:ascii="Calibri" w:hAnsi="Calibri"/>
          <w:color w:val="2E343A"/>
          <w:sz w:val="20"/>
        </w:rPr>
        <w:t>La réalisation de ces Travaux Pratiques a permis à notre binôme (Collé SYLL &amp; Ndeye Thiamba FAYE) de maîtriser l'ensemble de la chaîne de valeur du développement orienté services : de la persistance relationnelle Spring Data JPA jusqu'à l'orchestration multi-conteneurs Docker, en passant par le découplage DTO/MapStruct et la communication synchrone déclarative OpenFeign.</w:t>
      </w:r>
    </w:p>
    <w:p>
      <w:pPr>
        <w:spacing w:before="0" w:after="80" w:line="276" w:lineRule="auto"/>
        <w:jc w:val="both"/>
      </w:pPr>
      <w:r>
        <w:rPr>
          <w:rFonts w:ascii="Calibri" w:hAnsi="Calibri"/>
          <w:color w:val="2E343A"/>
          <w:sz w:val="20"/>
        </w:rPr>
        <w:t>Les défis majeurs rencontrés — notamment la résolution des adresses réseau entre conteneurs Docker et la base de données XAMPP locale ('host.docker.internal'), ainsi que la stricte application de la règle d'isolation du Slide 28 sans dépendances croisées — ont renforcé notre compréhension pratique des architectures distribuées modernes.</w:t>
      </w:r>
    </w:p>
    <w:p>
      <w:pPr>
        <w:spacing w:before="0" w:after="80" w:line="276" w:lineRule="auto"/>
        <w:jc w:val="both"/>
      </w:pPr>
      <w:r>
        <w:rPr>
          <w:rFonts w:ascii="Calibri" w:hAnsi="Calibri"/>
          <w:color w:val="2E343A"/>
          <w:sz w:val="20"/>
        </w:rPr>
        <w:t>Comme perspectives d'industrialisation futures, l'architecture mise en place pourra être enrichie d'une Spring Cloud Gateway pour unifier les points d'entrée externes, d'un registre de services Eureka pour la découverte dynamique des instances, et d'un serveur d'autorisation Keycloak pour sécuriser l'ensemble des échanges par des jetons JWT.</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828C"/>
        <w:sz w:val="17"/>
      </w:rPr>
      <w:t>Binôme : Collé SYLL (202300489) &amp; Ndeye Thiamba FAYE (202300488) — Dr Lamine FATY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UASZ — L3 L2I | Développement d'Applications Orientées Services | Compte-Rendu de TP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