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50A82">
      <w:pPr>
        <w:spacing w:line="360" w:lineRule="auto"/>
        <w:jc w:val="center"/>
        <w:rPr>
          <w:rFonts w:hint="eastAsia" w:ascii="Times New Roman" w:hAnsi="Times New Roman" w:eastAsia="楷体"/>
          <w:b/>
          <w:bCs/>
          <w:sz w:val="28"/>
          <w:szCs w:val="28"/>
        </w:rPr>
      </w:pPr>
      <w:r>
        <w:rPr>
          <w:rFonts w:hint="eastAsia" w:ascii="Times New Roman" w:hAnsi="Times New Roman" w:eastAsia="楷体"/>
          <w:b/>
          <w:bCs/>
          <w:sz w:val="28"/>
          <w:szCs w:val="28"/>
        </w:rPr>
        <w:t>Supplementary Material</w:t>
      </w:r>
    </w:p>
    <w:p w14:paraId="7B2532DC">
      <w:pPr>
        <w:spacing w:line="360" w:lineRule="auto"/>
        <w:jc w:val="center"/>
        <w:rPr>
          <w:rFonts w:hint="eastAsia" w:ascii="Times New Roman" w:hAnsi="Times New Roman" w:eastAsia="楷体"/>
          <w:b/>
          <w:bCs/>
          <w:sz w:val="28"/>
          <w:szCs w:val="28"/>
        </w:rPr>
      </w:pPr>
    </w:p>
    <w:p w14:paraId="5824D1F7">
      <w:pPr>
        <w:spacing w:line="480" w:lineRule="auto"/>
        <w:contextualSpacing/>
        <w:rPr>
          <w:rFonts w:ascii="Times New Roman" w:hAnsi="Times New Roman" w:eastAsia="宋体" w:cs="Times New Roman"/>
          <w:b w:val="0"/>
          <w:bCs w:val="0"/>
          <w:sz w:val="28"/>
          <w:szCs w:val="28"/>
          <w:highlight w:val="none"/>
        </w:rPr>
      </w:pPr>
      <w:r>
        <w:rPr>
          <w:rFonts w:hint="default" w:ascii="Times New Roman" w:hAnsi="Times New Roman" w:eastAsia="宋体" w:cs="Times New Roman"/>
          <w:b w:val="0"/>
          <w:bCs w:val="0"/>
          <w:sz w:val="28"/>
          <w:szCs w:val="28"/>
          <w:highlight w:val="none"/>
          <w:lang w:val="en-US" w:eastAsia="zh-CN"/>
        </w:rPr>
        <w:t>Short-Term Aerobic Pretreatment of Swine Manure Enhances Short-Chain Fatty Acid Production in Anaerobic fermentation: Performance and Mechanisms</w:t>
      </w:r>
    </w:p>
    <w:p w14:paraId="1797D895">
      <w:pPr>
        <w:spacing w:line="480" w:lineRule="auto"/>
        <w:contextualSpacing/>
        <w:jc w:val="left"/>
        <w:rPr>
          <w:rFonts w:ascii="Times New Roman" w:hAnsi="Times New Roman" w:eastAsia="宋体" w:cs="Times New Roman"/>
          <w:b/>
          <w:bCs/>
          <w:sz w:val="24"/>
          <w:szCs w:val="24"/>
        </w:rPr>
      </w:pPr>
    </w:p>
    <w:p w14:paraId="76EDBD0F">
      <w:pPr>
        <w:spacing w:line="480" w:lineRule="auto"/>
        <w:rPr>
          <w:rFonts w:ascii="Times New Roman" w:hAnsi="Times New Roman" w:eastAsia="宋体" w:cs="Times New Roman"/>
          <w:sz w:val="24"/>
          <w:szCs w:val="24"/>
          <w:highlight w:val="none"/>
          <w:vertAlign w:val="superscript"/>
        </w:rPr>
      </w:pPr>
      <w:r>
        <w:rPr>
          <w:rFonts w:ascii="Times New Roman" w:hAnsi="Times New Roman" w:eastAsia="宋体" w:cs="Times New Roman"/>
          <w:sz w:val="24"/>
          <w:szCs w:val="24"/>
          <w:highlight w:val="none"/>
        </w:rPr>
        <w:t>Bangjie Xiong</w:t>
      </w:r>
      <w:r>
        <w:rPr>
          <w:rFonts w:ascii="Times New Roman" w:hAnsi="Times New Roman" w:eastAsia="宋体" w:cs="Times New Roman"/>
          <w:sz w:val="24"/>
          <w:szCs w:val="24"/>
          <w:highlight w:val="none"/>
          <w:vertAlign w:val="superscript"/>
        </w:rPr>
        <w:t xml:space="preserve"> 1,2</w:t>
      </w:r>
      <w:r>
        <w:rPr>
          <w:rFonts w:ascii="Times New Roman" w:hAnsi="Times New Roman" w:eastAsia="宋体" w:cs="Times New Roman"/>
          <w:sz w:val="24"/>
          <w:szCs w:val="24"/>
          <w:highlight w:val="none"/>
        </w:rPr>
        <w:t xml:space="preserve">, </w:t>
      </w:r>
      <w:r>
        <w:rPr>
          <w:rFonts w:hint="eastAsia" w:ascii="Times New Roman" w:hAnsi="Times New Roman" w:eastAsia="宋体" w:cs="Times New Roman"/>
          <w:sz w:val="24"/>
          <w:szCs w:val="24"/>
          <w:highlight w:val="none"/>
          <w:lang w:val="en-US" w:eastAsia="zh-CN"/>
        </w:rPr>
        <w:t>Ju Chen</w:t>
      </w:r>
      <w:r>
        <w:rPr>
          <w:rFonts w:ascii="Times New Roman" w:hAnsi="Times New Roman" w:eastAsia="宋体" w:cs="Times New Roman"/>
          <w:sz w:val="24"/>
          <w:szCs w:val="24"/>
          <w:highlight w:val="none"/>
          <w:vertAlign w:val="superscript"/>
        </w:rPr>
        <w:t>1,2</w:t>
      </w:r>
      <w:r>
        <w:rPr>
          <w:rFonts w:hint="eastAsia" w:ascii="Times New Roman" w:hAnsi="Times New Roman" w:eastAsia="宋体" w:cs="Times New Roman"/>
          <w:sz w:val="24"/>
          <w:szCs w:val="24"/>
          <w:highlight w:val="none"/>
          <w:lang w:val="en-US" w:eastAsia="zh-CN"/>
        </w:rPr>
        <w:t xml:space="preserve">, </w:t>
      </w:r>
      <w:r>
        <w:rPr>
          <w:rFonts w:ascii="Times New Roman" w:hAnsi="Times New Roman" w:eastAsia="宋体" w:cs="Times New Roman"/>
          <w:sz w:val="24"/>
          <w:szCs w:val="24"/>
          <w:highlight w:val="none"/>
        </w:rPr>
        <w:t xml:space="preserve">Liangbin </w:t>
      </w:r>
      <w:r>
        <w:rPr>
          <w:rFonts w:hint="eastAsia" w:ascii="Times New Roman" w:hAnsi="Times New Roman" w:eastAsia="宋体" w:cs="Times New Roman"/>
          <w:sz w:val="24"/>
          <w:szCs w:val="24"/>
          <w:highlight w:val="none"/>
        </w:rPr>
        <w:t>Z</w:t>
      </w:r>
      <w:r>
        <w:rPr>
          <w:rFonts w:ascii="Times New Roman" w:hAnsi="Times New Roman" w:eastAsia="宋体" w:cs="Times New Roman"/>
          <w:sz w:val="24"/>
          <w:szCs w:val="24"/>
          <w:highlight w:val="none"/>
        </w:rPr>
        <w:t>hao</w:t>
      </w:r>
      <w:r>
        <w:rPr>
          <w:rFonts w:ascii="Times New Roman" w:hAnsi="Times New Roman" w:eastAsia="宋体" w:cs="Times New Roman"/>
          <w:sz w:val="24"/>
          <w:szCs w:val="24"/>
          <w:highlight w:val="none"/>
          <w:vertAlign w:val="superscript"/>
        </w:rPr>
        <w:t>1</w:t>
      </w:r>
      <w:r>
        <w:rPr>
          <w:rFonts w:ascii="Times New Roman" w:hAnsi="Times New Roman" w:eastAsia="宋体" w:cs="Times New Roman"/>
          <w:sz w:val="24"/>
          <w:szCs w:val="24"/>
          <w:highlight w:val="none"/>
        </w:rPr>
        <w:t>, Mengting Chen</w:t>
      </w:r>
      <w:r>
        <w:rPr>
          <w:rFonts w:ascii="Times New Roman" w:hAnsi="Times New Roman" w:eastAsia="宋体" w:cs="Times New Roman"/>
          <w:sz w:val="24"/>
          <w:szCs w:val="24"/>
          <w:highlight w:val="none"/>
          <w:vertAlign w:val="superscript"/>
        </w:rPr>
        <w:t>1,2</w:t>
      </w:r>
      <w:r>
        <w:rPr>
          <w:rFonts w:ascii="Times New Roman" w:hAnsi="Times New Roman" w:eastAsia="宋体" w:cs="Times New Roman"/>
          <w:sz w:val="24"/>
          <w:szCs w:val="24"/>
          <w:highlight w:val="none"/>
        </w:rPr>
        <w:t>, Xiaoxia Hao</w:t>
      </w:r>
      <w:r>
        <w:rPr>
          <w:rFonts w:ascii="Times New Roman" w:hAnsi="Times New Roman" w:eastAsia="宋体" w:cs="Times New Roman"/>
          <w:sz w:val="24"/>
          <w:szCs w:val="24"/>
          <w:highlight w:val="none"/>
          <w:vertAlign w:val="superscript"/>
        </w:rPr>
        <w:t>1,2</w:t>
      </w:r>
      <w:r>
        <w:rPr>
          <w:rFonts w:ascii="Times New Roman" w:hAnsi="Times New Roman" w:eastAsia="宋体" w:cs="Times New Roman"/>
          <w:sz w:val="24"/>
          <w:szCs w:val="24"/>
          <w:highlight w:val="none"/>
        </w:rPr>
        <w:t>, Weiping Sang</w:t>
      </w:r>
      <w:r>
        <w:rPr>
          <w:rFonts w:ascii="Times New Roman" w:hAnsi="Times New Roman" w:eastAsia="宋体" w:cs="Times New Roman"/>
          <w:sz w:val="24"/>
          <w:szCs w:val="24"/>
          <w:highlight w:val="none"/>
          <w:vertAlign w:val="superscript"/>
        </w:rPr>
        <w:t>1</w:t>
      </w:r>
      <w:r>
        <w:rPr>
          <w:rFonts w:ascii="Times New Roman" w:hAnsi="Times New Roman" w:eastAsia="宋体" w:cs="Times New Roman"/>
          <w:sz w:val="24"/>
          <w:szCs w:val="24"/>
          <w:highlight w:val="none"/>
        </w:rPr>
        <w:t>, Zhenzhen Guo</w:t>
      </w:r>
      <w:r>
        <w:rPr>
          <w:rFonts w:ascii="Times New Roman" w:hAnsi="Times New Roman" w:eastAsia="宋体" w:cs="Times New Roman"/>
          <w:sz w:val="24"/>
          <w:szCs w:val="24"/>
          <w:highlight w:val="none"/>
          <w:vertAlign w:val="superscript"/>
        </w:rPr>
        <w:t>1</w:t>
      </w:r>
      <w:r>
        <w:rPr>
          <w:rFonts w:ascii="Times New Roman" w:hAnsi="Times New Roman" w:eastAsia="宋体" w:cs="Times New Roman"/>
          <w:sz w:val="24"/>
          <w:szCs w:val="24"/>
          <w:highlight w:val="none"/>
        </w:rPr>
        <w:t>, Dongmei Jiang</w:t>
      </w:r>
      <w:r>
        <w:rPr>
          <w:rFonts w:ascii="Times New Roman" w:hAnsi="Times New Roman" w:eastAsia="宋体" w:cs="Times New Roman"/>
          <w:sz w:val="24"/>
          <w:szCs w:val="24"/>
          <w:highlight w:val="none"/>
          <w:vertAlign w:val="superscript"/>
        </w:rPr>
        <w:t>1,2</w:t>
      </w:r>
      <w:r>
        <w:rPr>
          <w:rFonts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 xml:space="preserve"> </w:t>
      </w:r>
      <w:r>
        <w:rPr>
          <w:rFonts w:ascii="Times New Roman" w:hAnsi="Times New Roman" w:eastAsia="宋体" w:cs="Times New Roman"/>
          <w:sz w:val="24"/>
          <w:szCs w:val="24"/>
          <w:highlight w:val="none"/>
        </w:rPr>
        <w:t>Shuo Liu</w:t>
      </w:r>
      <w:r>
        <w:rPr>
          <w:rFonts w:ascii="Times New Roman" w:hAnsi="Times New Roman" w:eastAsia="宋体" w:cs="Times New Roman"/>
          <w:sz w:val="24"/>
          <w:szCs w:val="24"/>
          <w:highlight w:val="none"/>
          <w:vertAlign w:val="superscript"/>
        </w:rPr>
        <w:t xml:space="preserve"> 1,2</w:t>
      </w:r>
      <w:r>
        <w:rPr>
          <w:rFonts w:ascii="Times New Roman" w:hAnsi="Times New Roman" w:eastAsia="宋体" w:cs="Times New Roman"/>
          <w:sz w:val="24"/>
          <w:szCs w:val="24"/>
          <w:highlight w:val="none"/>
        </w:rPr>
        <w:t>, Li Zhu</w:t>
      </w:r>
      <w:r>
        <w:rPr>
          <w:rFonts w:ascii="Times New Roman" w:hAnsi="Times New Roman" w:eastAsia="宋体" w:cs="Times New Roman"/>
          <w:sz w:val="24"/>
          <w:szCs w:val="24"/>
          <w:highlight w:val="none"/>
          <w:vertAlign w:val="superscript"/>
        </w:rPr>
        <w:t>2</w:t>
      </w:r>
      <w:r>
        <w:rPr>
          <w:rFonts w:ascii="Times New Roman" w:hAnsi="Times New Roman" w:eastAsia="宋体" w:cs="Times New Roman"/>
          <w:sz w:val="24"/>
          <w:szCs w:val="24"/>
          <w:highlight w:val="none"/>
        </w:rPr>
        <w:t>, Lin Bai</w:t>
      </w:r>
      <w:r>
        <w:rPr>
          <w:rFonts w:ascii="Times New Roman" w:hAnsi="Times New Roman" w:eastAsia="宋体" w:cs="Times New Roman"/>
          <w:sz w:val="24"/>
          <w:szCs w:val="24"/>
          <w:highlight w:val="none"/>
          <w:vertAlign w:val="superscript"/>
        </w:rPr>
        <w:t>1,2*</w:t>
      </w:r>
    </w:p>
    <w:p w14:paraId="0063D798">
      <w:pPr>
        <w:spacing w:line="480" w:lineRule="auto"/>
        <w:rPr>
          <w:rFonts w:ascii="Times New Roman" w:hAnsi="Times New Roman" w:eastAsia="宋体" w:cs="Times New Roman"/>
          <w:sz w:val="24"/>
          <w:szCs w:val="24"/>
          <w:highlight w:val="none"/>
          <w:vertAlign w:val="superscript"/>
        </w:rPr>
      </w:pPr>
    </w:p>
    <w:p w14:paraId="197AD65F">
      <w:pPr>
        <w:spacing w:line="480" w:lineRule="auto"/>
        <w:contextualSpacing/>
        <w:rPr>
          <w:rFonts w:ascii="Times New Roman" w:hAnsi="Times New Roman" w:eastAsia="宋体" w:cs="Times New Roman"/>
          <w:sz w:val="24"/>
          <w:szCs w:val="24"/>
        </w:rPr>
      </w:pPr>
      <w:r>
        <w:rPr>
          <w:rFonts w:ascii="Times New Roman" w:hAnsi="Times New Roman" w:eastAsia="宋体" w:cs="Times New Roman"/>
          <w:sz w:val="24"/>
          <w:szCs w:val="24"/>
          <w:vertAlign w:val="superscript"/>
        </w:rPr>
        <w:t>1</w:t>
      </w:r>
      <w:r>
        <w:rPr>
          <w:rFonts w:ascii="Times New Roman" w:hAnsi="Times New Roman" w:eastAsia="宋体" w:cs="Times New Roman"/>
          <w:sz w:val="24"/>
          <w:szCs w:val="24"/>
        </w:rPr>
        <w:t>Lab of Animal Ecology and Environmental Control, College of Animal Science and Technology, Sichuan Agricultural University, Chengdu, 611130, P. R. China</w:t>
      </w:r>
    </w:p>
    <w:p w14:paraId="187EBFF9">
      <w:pPr>
        <w:spacing w:line="480" w:lineRule="auto"/>
        <w:contextualSpacing/>
        <w:rPr>
          <w:rFonts w:ascii="Times New Roman" w:hAnsi="Times New Roman" w:eastAsia="宋体" w:cs="Times New Roman"/>
          <w:sz w:val="24"/>
          <w:szCs w:val="24"/>
        </w:rPr>
      </w:pP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State Key Laboratory of Swine and Poultry Breeding Industry, College of Animal Science and Technology, Sichuan Agricultural University, P. R. China</w:t>
      </w:r>
    </w:p>
    <w:p w14:paraId="5197758B">
      <w:pPr>
        <w:spacing w:line="480" w:lineRule="auto"/>
        <w:contextualSpacing/>
        <w:jc w:val="left"/>
        <w:rPr>
          <w:rFonts w:ascii="Times New Roman" w:hAnsi="Times New Roman" w:eastAsia="宋体" w:cs="Times New Roman"/>
          <w:sz w:val="24"/>
          <w:szCs w:val="24"/>
        </w:rPr>
      </w:pPr>
    </w:p>
    <w:p w14:paraId="3A853747">
      <w:pPr>
        <w:spacing w:line="480" w:lineRule="auto"/>
        <w:rPr>
          <w:rFonts w:ascii="Times New Roman" w:hAnsi="Times New Roman" w:eastAsia="宋体" w:cs="Times New Roman"/>
          <w:sz w:val="24"/>
          <w:szCs w:val="24"/>
        </w:rPr>
      </w:pPr>
    </w:p>
    <w:p w14:paraId="23A67A35">
      <w:pPr>
        <w:spacing w:line="480" w:lineRule="auto"/>
        <w:contextualSpacing/>
        <w:rPr>
          <w:rFonts w:ascii="Times New Roman" w:hAnsi="Times New Roman" w:eastAsia="宋体" w:cs="Times New Roman"/>
          <w:b/>
          <w:bCs/>
          <w:sz w:val="24"/>
          <w:szCs w:val="24"/>
        </w:rPr>
      </w:pPr>
      <w:r>
        <w:rPr>
          <w:rFonts w:ascii="Times New Roman" w:hAnsi="Times New Roman" w:eastAsia="宋体" w:cs="Times New Roman"/>
          <w:b/>
          <w:bCs/>
          <w:sz w:val="24"/>
          <w:szCs w:val="24"/>
        </w:rPr>
        <w:t>*Corresponding author</w:t>
      </w:r>
    </w:p>
    <w:p w14:paraId="44AB0DCF">
      <w:pPr>
        <w:spacing w:line="480" w:lineRule="auto"/>
        <w:contextualSpacing/>
        <w:rPr>
          <w:rFonts w:ascii="Times New Roman" w:hAnsi="Times New Roman" w:eastAsia="宋体" w:cs="Times New Roman"/>
          <w:sz w:val="24"/>
          <w:szCs w:val="24"/>
        </w:rPr>
      </w:pPr>
      <w:r>
        <w:rPr>
          <w:rFonts w:ascii="Times New Roman" w:hAnsi="Times New Roman" w:eastAsia="宋体" w:cs="Times New Roman"/>
          <w:sz w:val="24"/>
          <w:szCs w:val="24"/>
        </w:rPr>
        <w:t xml:space="preserve">To whom correspondence e-mail: </w:t>
      </w:r>
      <w:r>
        <w:fldChar w:fldCharType="begin"/>
      </w:r>
      <w:r>
        <w:instrText xml:space="preserve"> HYPERLINK "mailto:blin16@126.com;" </w:instrText>
      </w:r>
      <w:r>
        <w:fldChar w:fldCharType="separate"/>
      </w:r>
      <w:r>
        <w:rPr>
          <w:rFonts w:ascii="Times New Roman" w:hAnsi="Times New Roman" w:eastAsia="宋体" w:cs="Times New Roman"/>
          <w:sz w:val="24"/>
          <w:szCs w:val="24"/>
        </w:rPr>
        <w:t>blin16@126.com;</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 xml:space="preserve"> lsjiayouya@126.com.</w:t>
      </w:r>
    </w:p>
    <w:p w14:paraId="713D8DC5">
      <w:pPr>
        <w:spacing w:line="480" w:lineRule="auto"/>
        <w:rPr>
          <w:rFonts w:ascii="Times New Roman" w:hAnsi="Times New Roman" w:eastAsia="宋体" w:cs="Times New Roman"/>
          <w:sz w:val="24"/>
          <w:szCs w:val="24"/>
        </w:rPr>
        <w:sectPr>
          <w:pgSz w:w="11906" w:h="16838"/>
          <w:pgMar w:top="1440" w:right="1800" w:bottom="1440" w:left="1800" w:header="851" w:footer="992" w:gutter="0"/>
          <w:lnNumType w:countBy="0" w:restart="continuous"/>
          <w:cols w:space="425" w:num="1"/>
          <w:docGrid w:type="lines" w:linePitch="312" w:charSpace="0"/>
        </w:sectPr>
      </w:pPr>
      <w:r>
        <w:rPr>
          <w:rFonts w:ascii="Times New Roman" w:hAnsi="Times New Roman" w:eastAsia="宋体" w:cs="Times New Roman"/>
          <w:sz w:val="24"/>
          <w:szCs w:val="24"/>
          <w:vertAlign w:val="superscript"/>
        </w:rPr>
        <w:t>a</w:t>
      </w:r>
      <w:r>
        <w:rPr>
          <w:rFonts w:ascii="Times New Roman" w:hAnsi="Times New Roman" w:eastAsia="宋体" w:cs="Times New Roman"/>
          <w:sz w:val="24"/>
          <w:szCs w:val="24"/>
        </w:rPr>
        <w:t xml:space="preserve"> These authors contributed equally to the paper as first author</w:t>
      </w:r>
    </w:p>
    <w:p w14:paraId="3102B8AD">
      <w:pPr>
        <w:spacing w:line="360" w:lineRule="auto"/>
        <w:jc w:val="both"/>
        <w:rPr>
          <w:rFonts w:hint="eastAsia" w:ascii="Times New Roman" w:hAnsi="Times New Roman" w:eastAsia="楷体"/>
          <w:b/>
          <w:bCs/>
          <w:sz w:val="24"/>
          <w:szCs w:val="24"/>
          <w:lang w:val="en-US" w:eastAsia="zh-CN"/>
        </w:rPr>
      </w:pPr>
      <w:r>
        <w:rPr>
          <w:rFonts w:hint="eastAsia" w:ascii="Times New Roman" w:hAnsi="Times New Roman" w:eastAsia="楷体"/>
          <w:b/>
          <w:bCs/>
          <w:sz w:val="24"/>
          <w:szCs w:val="24"/>
          <w:lang w:val="en-US" w:eastAsia="zh-CN"/>
        </w:rPr>
        <w:t>Text A.1</w:t>
      </w:r>
    </w:p>
    <w:p w14:paraId="23F56458">
      <w:pPr>
        <w:spacing w:line="360" w:lineRule="auto"/>
        <w:jc w:val="both"/>
        <w:rPr>
          <w:rFonts w:hint="eastAsia" w:ascii="Times New Roman" w:hAnsi="Times New Roman" w:eastAsia="楷体"/>
          <w:b w:val="0"/>
          <w:bCs w:val="0"/>
          <w:sz w:val="24"/>
          <w:szCs w:val="24"/>
          <w:lang w:val="en-US" w:eastAsia="zh-CN"/>
        </w:rPr>
      </w:pPr>
      <w:r>
        <w:rPr>
          <w:rFonts w:hint="eastAsia" w:ascii="Times New Roman" w:hAnsi="Times New Roman" w:eastAsia="楷体"/>
          <w:b w:val="0"/>
          <w:bCs w:val="0"/>
          <w:sz w:val="24"/>
          <w:szCs w:val="24"/>
          <w:lang w:val="en-US" w:eastAsia="zh-CN"/>
        </w:rPr>
        <w:t>The "Aerobic composting pretreatment" does not refer to new equipment or devices but rather employs traditional composting methods to treat the materials. In this study, the composting setup used was a thick-walled foam box with inner dimensions of 55 cm (length) × 50 cm (width) × 80 cm (height). A perforated plate and an aeration pipe were installed at the bottom of the box (as shown in the figure below). During the composting process, an aerator was used to intermittently force aeration through the aeration pipe, with an aeration frequency of 5 minutes per hour and an aeration rate of 600–800 ml per minute.</w:t>
      </w:r>
    </w:p>
    <w:p w14:paraId="4E7EA884">
      <w:pPr>
        <w:spacing w:line="360" w:lineRule="auto"/>
        <w:jc w:val="both"/>
        <w:rPr>
          <w:rFonts w:hint="default" w:ascii="Times New Roman" w:hAnsi="Times New Roman" w:eastAsia="楷体"/>
          <w:b/>
          <w:bCs/>
          <w:sz w:val="28"/>
          <w:szCs w:val="28"/>
          <w:lang w:val="en-US" w:eastAsia="zh-CN"/>
        </w:rPr>
      </w:pPr>
    </w:p>
    <w:p w14:paraId="72211C30">
      <w:pPr>
        <w:jc w:val="center"/>
      </w:pPr>
      <w:r>
        <w:drawing>
          <wp:inline distT="0" distB="0" distL="114300" distR="114300">
            <wp:extent cx="5260975" cy="1940560"/>
            <wp:effectExtent l="0" t="0" r="952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0975" cy="1940560"/>
                    </a:xfrm>
                    <a:prstGeom prst="rect">
                      <a:avLst/>
                    </a:prstGeom>
                    <a:noFill/>
                    <a:ln>
                      <a:noFill/>
                    </a:ln>
                  </pic:spPr>
                </pic:pic>
              </a:graphicData>
            </a:graphic>
          </wp:inline>
        </w:drawing>
      </w:r>
    </w:p>
    <w:p w14:paraId="4C96836E">
      <w:pPr>
        <w:jc w:val="center"/>
      </w:pPr>
    </w:p>
    <w:p w14:paraId="42301866">
      <w:pPr>
        <w:jc w:val="both"/>
        <w:rPr>
          <w:rFonts w:hint="eastAsia" w:ascii="Times New Roman" w:hAnsi="Times New Roman" w:eastAsia="楷体"/>
          <w:b/>
          <w:bCs/>
          <w:sz w:val="24"/>
          <w:szCs w:val="24"/>
          <w:lang w:val="en-US" w:eastAsia="zh-CN"/>
        </w:rPr>
      </w:pPr>
    </w:p>
    <w:p w14:paraId="17B86DC5">
      <w:pPr>
        <w:jc w:val="both"/>
        <w:rPr>
          <w:rFonts w:hint="eastAsia" w:ascii="Times New Roman" w:hAnsi="Times New Roman" w:eastAsia="楷体"/>
          <w:b/>
          <w:bCs/>
          <w:sz w:val="24"/>
          <w:szCs w:val="24"/>
          <w:lang w:val="en-US" w:eastAsia="zh-CN"/>
        </w:rPr>
      </w:pPr>
      <w:r>
        <w:rPr>
          <w:rFonts w:hint="eastAsia" w:ascii="Times New Roman" w:hAnsi="Times New Roman" w:eastAsia="楷体"/>
          <w:b/>
          <w:bCs/>
          <w:sz w:val="24"/>
          <w:szCs w:val="24"/>
          <w:lang w:val="en-US" w:eastAsia="zh-CN"/>
        </w:rPr>
        <w:t>Text A.2</w:t>
      </w:r>
    </w:p>
    <w:p w14:paraId="7A0D3569">
      <w:pPr>
        <w:jc w:val="both"/>
        <w:rPr>
          <w:rFonts w:hint="default" w:ascii="Times New Roman" w:hAnsi="Times New Roman" w:eastAsia="楷体"/>
          <w:b w:val="0"/>
          <w:bCs w:val="0"/>
          <w:sz w:val="24"/>
          <w:szCs w:val="24"/>
          <w:lang w:val="en-US" w:eastAsia="zh-CN"/>
        </w:rPr>
      </w:pPr>
      <w:r>
        <w:rPr>
          <w:rFonts w:hint="default" w:ascii="Times New Roman" w:hAnsi="Times New Roman" w:eastAsia="楷体"/>
          <w:b w:val="0"/>
          <w:bCs w:val="0"/>
          <w:sz w:val="24"/>
          <w:szCs w:val="24"/>
          <w:lang w:val="en-US" w:eastAsia="zh-CN"/>
        </w:rPr>
        <w:t>Production cost (CNY/g) = Electricity consumption × Electricity price ÷ Total SCFAs production. For conventional low-temperature thermal pretreatment, energy consumption was mainly from oven heating; for aerobic composting pretreatment, energy consumption was primarily from aeration.</w:t>
      </w:r>
    </w:p>
    <w:p w14:paraId="7878D6FD">
      <w:pPr>
        <w:jc w:val="both"/>
        <w:rPr>
          <w:rFonts w:hint="default" w:ascii="Times New Roman" w:hAnsi="Times New Roman" w:eastAsia="楷体"/>
          <w:b w:val="0"/>
          <w:bCs w:val="0"/>
          <w:sz w:val="24"/>
          <w:szCs w:val="24"/>
          <w:lang w:val="en-US" w:eastAsia="zh-CN"/>
        </w:rPr>
      </w:pPr>
    </w:p>
    <w:p w14:paraId="48ADEBAB">
      <w:pPr>
        <w:spacing w:line="480" w:lineRule="auto"/>
        <w:rPr>
          <w:rFonts w:ascii="Times New Roman" w:hAnsi="Times New Roman" w:cs="Times New Roman"/>
          <w:b/>
          <w:sz w:val="24"/>
        </w:rPr>
      </w:pPr>
    </w:p>
    <w:p w14:paraId="24AA2EDD">
      <w:pPr>
        <w:spacing w:line="480" w:lineRule="auto"/>
        <w:rPr>
          <w:rFonts w:ascii="Times New Roman" w:hAnsi="Times New Roman" w:cs="Times New Roman"/>
          <w:b/>
          <w:sz w:val="24"/>
        </w:rPr>
      </w:pPr>
    </w:p>
    <w:p w14:paraId="5C3DDC00">
      <w:pPr>
        <w:spacing w:line="480" w:lineRule="auto"/>
        <w:rPr>
          <w:rFonts w:ascii="Times New Roman" w:hAnsi="Times New Roman" w:cs="Times New Roman"/>
          <w:b/>
          <w:sz w:val="24"/>
        </w:rPr>
      </w:pPr>
    </w:p>
    <w:p w14:paraId="23E4A5EB">
      <w:pPr>
        <w:spacing w:line="480" w:lineRule="auto"/>
        <w:rPr>
          <w:rFonts w:ascii="Times New Roman" w:hAnsi="Times New Roman" w:cs="Times New Roman"/>
          <w:b/>
          <w:sz w:val="24"/>
        </w:rPr>
      </w:pPr>
    </w:p>
    <w:p w14:paraId="6044718A">
      <w:pPr>
        <w:spacing w:line="480" w:lineRule="auto"/>
        <w:rPr>
          <w:rFonts w:ascii="Times New Roman" w:hAnsi="Times New Roman" w:cs="Times New Roman"/>
          <w:b/>
          <w:sz w:val="24"/>
        </w:rPr>
      </w:pPr>
    </w:p>
    <w:p w14:paraId="254D1669">
      <w:pPr>
        <w:spacing w:line="480" w:lineRule="auto"/>
        <w:rPr>
          <w:rFonts w:ascii="Times New Roman" w:hAnsi="Times New Roman" w:cs="Times New Roman"/>
          <w:b/>
          <w:sz w:val="24"/>
        </w:rPr>
      </w:pPr>
      <w:r>
        <w:rPr>
          <w:rFonts w:ascii="Times New Roman" w:hAnsi="Times New Roman" w:cs="Times New Roman"/>
          <w:b/>
          <w:sz w:val="24"/>
        </w:rPr>
        <w:t>Table S1: Physicochemical properties of raw materials in this test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1556"/>
        <w:gridCol w:w="1433"/>
        <w:gridCol w:w="2941"/>
      </w:tblGrid>
      <w:tr w14:paraId="044E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auto" w:sz="4" w:space="0"/>
              <w:left w:val="nil"/>
              <w:bottom w:val="single" w:color="auto" w:sz="4" w:space="0"/>
              <w:right w:val="nil"/>
            </w:tcBorders>
          </w:tcPr>
          <w:p w14:paraId="19618094">
            <w:pPr>
              <w:spacing w:line="480" w:lineRule="auto"/>
              <w:jc w:val="center"/>
              <w:rPr>
                <w:rFonts w:ascii="Times New Roman" w:hAnsi="Times New Roman" w:cs="Times New Roman"/>
                <w:b/>
                <w:szCs w:val="21"/>
              </w:rPr>
            </w:pPr>
            <w:r>
              <w:rPr>
                <w:rFonts w:ascii="Times New Roman" w:hAnsi="Times New Roman" w:cs="Times New Roman"/>
                <w:b/>
                <w:szCs w:val="21"/>
              </w:rPr>
              <w:t>Physicochemical Property</w:t>
            </w:r>
          </w:p>
        </w:tc>
        <w:tc>
          <w:tcPr>
            <w:tcW w:w="1556" w:type="dxa"/>
            <w:tcBorders>
              <w:top w:val="single" w:color="auto" w:sz="4" w:space="0"/>
              <w:left w:val="nil"/>
              <w:bottom w:val="single" w:color="auto" w:sz="4" w:space="0"/>
              <w:right w:val="nil"/>
            </w:tcBorders>
          </w:tcPr>
          <w:p w14:paraId="4C8E7DB7">
            <w:pPr>
              <w:spacing w:line="480" w:lineRule="auto"/>
              <w:jc w:val="center"/>
              <w:rPr>
                <w:rFonts w:ascii="Times New Roman" w:hAnsi="Times New Roman" w:cs="Times New Roman"/>
                <w:b/>
                <w:szCs w:val="21"/>
              </w:rPr>
            </w:pPr>
            <w:r>
              <w:rPr>
                <w:rFonts w:ascii="Times New Roman" w:hAnsi="Times New Roman" w:cs="Times New Roman"/>
                <w:b/>
                <w:szCs w:val="21"/>
              </w:rPr>
              <w:t>Swine Manure</w:t>
            </w:r>
          </w:p>
        </w:tc>
        <w:tc>
          <w:tcPr>
            <w:tcW w:w="1433" w:type="dxa"/>
            <w:tcBorders>
              <w:top w:val="single" w:color="auto" w:sz="4" w:space="0"/>
              <w:left w:val="nil"/>
              <w:bottom w:val="single" w:color="auto" w:sz="4" w:space="0"/>
              <w:right w:val="nil"/>
            </w:tcBorders>
          </w:tcPr>
          <w:p w14:paraId="1179A80E">
            <w:pPr>
              <w:spacing w:line="480" w:lineRule="auto"/>
              <w:jc w:val="center"/>
              <w:rPr>
                <w:rFonts w:ascii="Times New Roman" w:hAnsi="Times New Roman" w:cs="Times New Roman"/>
                <w:b/>
                <w:szCs w:val="21"/>
              </w:rPr>
            </w:pPr>
            <w:r>
              <w:rPr>
                <w:rFonts w:ascii="Times New Roman" w:hAnsi="Times New Roman" w:cs="Times New Roman"/>
                <w:b/>
                <w:szCs w:val="21"/>
              </w:rPr>
              <w:t>Wheat Straw</w:t>
            </w:r>
          </w:p>
        </w:tc>
        <w:tc>
          <w:tcPr>
            <w:tcW w:w="2941" w:type="dxa"/>
            <w:tcBorders>
              <w:top w:val="single" w:color="auto" w:sz="4" w:space="0"/>
              <w:left w:val="nil"/>
              <w:bottom w:val="single" w:color="auto" w:sz="4" w:space="0"/>
              <w:right w:val="nil"/>
            </w:tcBorders>
          </w:tcPr>
          <w:p w14:paraId="0330DB02">
            <w:pPr>
              <w:spacing w:line="480" w:lineRule="auto"/>
              <w:jc w:val="center"/>
              <w:rPr>
                <w:rFonts w:ascii="Times New Roman" w:hAnsi="Times New Roman" w:cs="Times New Roman"/>
                <w:b/>
                <w:szCs w:val="21"/>
              </w:rPr>
            </w:pPr>
            <w:r>
              <w:rPr>
                <w:rFonts w:ascii="Times New Roman" w:hAnsi="Times New Roman" w:cs="Times New Roman"/>
                <w:b/>
                <w:szCs w:val="21"/>
              </w:rPr>
              <w:t>Swine Manure+Wheat Straw</w:t>
            </w:r>
          </w:p>
        </w:tc>
      </w:tr>
      <w:tr w14:paraId="2AD5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auto" w:sz="4" w:space="0"/>
              <w:left w:val="nil"/>
              <w:bottom w:val="nil"/>
              <w:right w:val="nil"/>
            </w:tcBorders>
          </w:tcPr>
          <w:p w14:paraId="57315489">
            <w:pPr>
              <w:spacing w:line="480" w:lineRule="auto"/>
              <w:jc w:val="center"/>
              <w:rPr>
                <w:rFonts w:ascii="Times New Roman" w:hAnsi="Times New Roman" w:cs="Times New Roman"/>
                <w:bCs/>
                <w:szCs w:val="21"/>
              </w:rPr>
            </w:pPr>
            <w:r>
              <w:rPr>
                <w:rFonts w:ascii="Times New Roman" w:hAnsi="Times New Roman" w:cs="Times New Roman"/>
                <w:bCs/>
                <w:szCs w:val="21"/>
              </w:rPr>
              <w:t>pH</w:t>
            </w:r>
          </w:p>
        </w:tc>
        <w:tc>
          <w:tcPr>
            <w:tcW w:w="1556" w:type="dxa"/>
            <w:tcBorders>
              <w:top w:val="single" w:color="auto" w:sz="4" w:space="0"/>
              <w:left w:val="nil"/>
              <w:bottom w:val="nil"/>
              <w:right w:val="nil"/>
            </w:tcBorders>
            <w:vAlign w:val="center"/>
          </w:tcPr>
          <w:p w14:paraId="1A84EAD9">
            <w:pPr>
              <w:jc w:val="center"/>
              <w:rPr>
                <w:rFonts w:ascii="Times New Roman" w:hAnsi="Times New Roman" w:eastAsia="宋体" w:cs="Times New Roman"/>
                <w:bCs/>
                <w:szCs w:val="21"/>
              </w:rPr>
            </w:pPr>
            <w:r>
              <w:rPr>
                <w:rFonts w:ascii="Times New Roman" w:hAnsi="Times New Roman" w:eastAsia="宋体" w:cs="Times New Roman"/>
                <w:bCs/>
                <w:szCs w:val="21"/>
              </w:rPr>
              <w:t>7.90±0.16</w:t>
            </w:r>
          </w:p>
        </w:tc>
        <w:tc>
          <w:tcPr>
            <w:tcW w:w="1433" w:type="dxa"/>
            <w:tcBorders>
              <w:top w:val="single" w:color="auto" w:sz="4" w:space="0"/>
              <w:left w:val="nil"/>
              <w:bottom w:val="nil"/>
              <w:right w:val="nil"/>
            </w:tcBorders>
            <w:vAlign w:val="center"/>
          </w:tcPr>
          <w:p w14:paraId="78323E47">
            <w:pPr>
              <w:jc w:val="center"/>
              <w:rPr>
                <w:rFonts w:ascii="Times New Roman" w:hAnsi="Times New Roman" w:eastAsia="宋体" w:cs="Times New Roman"/>
                <w:bCs/>
                <w:szCs w:val="21"/>
              </w:rPr>
            </w:pPr>
            <w:r>
              <w:rPr>
                <w:rFonts w:ascii="Times New Roman" w:hAnsi="Times New Roman" w:eastAsia="宋体" w:cs="Times New Roman"/>
                <w:bCs/>
                <w:szCs w:val="21"/>
              </w:rPr>
              <w:t>7.04±0.05</w:t>
            </w:r>
          </w:p>
        </w:tc>
        <w:tc>
          <w:tcPr>
            <w:tcW w:w="2941" w:type="dxa"/>
            <w:tcBorders>
              <w:top w:val="single" w:color="auto" w:sz="4" w:space="0"/>
              <w:left w:val="nil"/>
              <w:bottom w:val="nil"/>
              <w:right w:val="nil"/>
            </w:tcBorders>
            <w:vAlign w:val="center"/>
          </w:tcPr>
          <w:p w14:paraId="3A8C1384">
            <w:pPr>
              <w:jc w:val="center"/>
              <w:rPr>
                <w:rFonts w:ascii="Times New Roman" w:hAnsi="Times New Roman" w:eastAsia="宋体" w:cs="Times New Roman"/>
                <w:bCs/>
                <w:szCs w:val="21"/>
              </w:rPr>
            </w:pPr>
            <w:r>
              <w:rPr>
                <w:rFonts w:ascii="Times New Roman" w:hAnsi="Times New Roman" w:eastAsia="宋体" w:cs="Times New Roman"/>
                <w:bCs/>
                <w:szCs w:val="21"/>
              </w:rPr>
              <w:t>7.67±0.02</w:t>
            </w:r>
          </w:p>
        </w:tc>
      </w:tr>
      <w:tr w14:paraId="5732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nil"/>
              <w:left w:val="nil"/>
              <w:bottom w:val="nil"/>
              <w:right w:val="nil"/>
            </w:tcBorders>
          </w:tcPr>
          <w:p w14:paraId="5EA291C2">
            <w:pPr>
              <w:spacing w:line="480" w:lineRule="auto"/>
              <w:jc w:val="center"/>
              <w:rPr>
                <w:rFonts w:ascii="Times New Roman" w:hAnsi="Times New Roman" w:cs="Times New Roman"/>
                <w:bCs/>
                <w:szCs w:val="21"/>
              </w:rPr>
            </w:pPr>
            <w:r>
              <w:rPr>
                <w:rFonts w:ascii="Times New Roman" w:hAnsi="Times New Roman" w:cs="Times New Roman"/>
                <w:bCs/>
                <w:szCs w:val="21"/>
              </w:rPr>
              <w:t>Moisture Content (%)</w:t>
            </w:r>
          </w:p>
        </w:tc>
        <w:tc>
          <w:tcPr>
            <w:tcW w:w="1556" w:type="dxa"/>
            <w:tcBorders>
              <w:top w:val="nil"/>
              <w:left w:val="nil"/>
              <w:bottom w:val="nil"/>
              <w:right w:val="nil"/>
            </w:tcBorders>
            <w:vAlign w:val="center"/>
          </w:tcPr>
          <w:p w14:paraId="1DBEB2A5">
            <w:pPr>
              <w:jc w:val="center"/>
              <w:rPr>
                <w:rFonts w:ascii="Times New Roman" w:hAnsi="Times New Roman" w:eastAsia="宋体" w:cs="Times New Roman"/>
                <w:bCs/>
                <w:szCs w:val="21"/>
              </w:rPr>
            </w:pPr>
            <w:r>
              <w:rPr>
                <w:rFonts w:ascii="Times New Roman" w:hAnsi="Times New Roman" w:eastAsia="宋体" w:cs="Times New Roman"/>
                <w:bCs/>
                <w:szCs w:val="21"/>
              </w:rPr>
              <w:t>76.81±0.23</w:t>
            </w:r>
          </w:p>
        </w:tc>
        <w:tc>
          <w:tcPr>
            <w:tcW w:w="1433" w:type="dxa"/>
            <w:tcBorders>
              <w:top w:val="nil"/>
              <w:left w:val="nil"/>
              <w:bottom w:val="nil"/>
              <w:right w:val="nil"/>
            </w:tcBorders>
            <w:vAlign w:val="center"/>
          </w:tcPr>
          <w:p w14:paraId="37D81E63">
            <w:pPr>
              <w:jc w:val="center"/>
              <w:rPr>
                <w:rFonts w:ascii="Times New Roman" w:hAnsi="Times New Roman" w:eastAsia="宋体" w:cs="Times New Roman"/>
                <w:bCs/>
                <w:szCs w:val="21"/>
              </w:rPr>
            </w:pPr>
            <w:r>
              <w:rPr>
                <w:rFonts w:ascii="Times New Roman" w:hAnsi="Times New Roman" w:eastAsia="宋体" w:cs="Times New Roman"/>
                <w:bCs/>
                <w:szCs w:val="21"/>
              </w:rPr>
              <w:t>10.35±0.78</w:t>
            </w:r>
          </w:p>
        </w:tc>
        <w:tc>
          <w:tcPr>
            <w:tcW w:w="2941" w:type="dxa"/>
            <w:tcBorders>
              <w:top w:val="nil"/>
              <w:left w:val="nil"/>
              <w:bottom w:val="nil"/>
              <w:right w:val="nil"/>
            </w:tcBorders>
            <w:vAlign w:val="center"/>
          </w:tcPr>
          <w:p w14:paraId="79128983">
            <w:pPr>
              <w:jc w:val="center"/>
              <w:rPr>
                <w:rFonts w:ascii="Times New Roman" w:hAnsi="Times New Roman" w:eastAsia="宋体" w:cs="Times New Roman"/>
                <w:bCs/>
                <w:szCs w:val="21"/>
              </w:rPr>
            </w:pPr>
            <w:r>
              <w:rPr>
                <w:rFonts w:ascii="Times New Roman" w:hAnsi="Times New Roman" w:eastAsia="宋体" w:cs="Times New Roman"/>
                <w:bCs/>
                <w:szCs w:val="21"/>
              </w:rPr>
              <w:t>62.88±0.01</w:t>
            </w:r>
          </w:p>
        </w:tc>
      </w:tr>
      <w:tr w14:paraId="4857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nil"/>
              <w:left w:val="nil"/>
              <w:bottom w:val="nil"/>
              <w:right w:val="nil"/>
            </w:tcBorders>
          </w:tcPr>
          <w:p w14:paraId="439B6BB2">
            <w:pPr>
              <w:spacing w:line="480" w:lineRule="auto"/>
              <w:jc w:val="center"/>
              <w:rPr>
                <w:rFonts w:ascii="Times New Roman" w:hAnsi="Times New Roman" w:cs="Times New Roman"/>
                <w:bCs/>
                <w:szCs w:val="21"/>
              </w:rPr>
            </w:pPr>
            <w:r>
              <w:rPr>
                <w:rFonts w:ascii="Times New Roman" w:hAnsi="Times New Roman" w:cs="Times New Roman"/>
                <w:bCs/>
                <w:szCs w:val="21"/>
              </w:rPr>
              <w:t>TOC (%)</w:t>
            </w:r>
          </w:p>
        </w:tc>
        <w:tc>
          <w:tcPr>
            <w:tcW w:w="1556" w:type="dxa"/>
            <w:tcBorders>
              <w:top w:val="nil"/>
              <w:left w:val="nil"/>
              <w:bottom w:val="nil"/>
              <w:right w:val="nil"/>
            </w:tcBorders>
            <w:vAlign w:val="center"/>
          </w:tcPr>
          <w:p w14:paraId="3C7F771D">
            <w:pPr>
              <w:jc w:val="center"/>
              <w:rPr>
                <w:rFonts w:ascii="Times New Roman" w:hAnsi="Times New Roman" w:eastAsia="宋体" w:cs="Times New Roman"/>
                <w:bCs/>
                <w:szCs w:val="21"/>
              </w:rPr>
            </w:pPr>
            <w:r>
              <w:rPr>
                <w:rFonts w:ascii="Times New Roman" w:hAnsi="Times New Roman" w:eastAsia="宋体" w:cs="Times New Roman"/>
                <w:bCs/>
                <w:szCs w:val="21"/>
              </w:rPr>
              <w:t>42.07±0.72</w:t>
            </w:r>
          </w:p>
        </w:tc>
        <w:tc>
          <w:tcPr>
            <w:tcW w:w="1433" w:type="dxa"/>
            <w:tcBorders>
              <w:top w:val="nil"/>
              <w:left w:val="nil"/>
              <w:bottom w:val="nil"/>
              <w:right w:val="nil"/>
            </w:tcBorders>
            <w:vAlign w:val="center"/>
          </w:tcPr>
          <w:p w14:paraId="01095926">
            <w:pPr>
              <w:jc w:val="center"/>
              <w:rPr>
                <w:rFonts w:ascii="Times New Roman" w:hAnsi="Times New Roman" w:eastAsia="宋体" w:cs="Times New Roman"/>
                <w:bCs/>
                <w:szCs w:val="21"/>
              </w:rPr>
            </w:pPr>
            <w:r>
              <w:rPr>
                <w:rFonts w:ascii="Times New Roman" w:hAnsi="Times New Roman" w:eastAsia="宋体" w:cs="Times New Roman"/>
                <w:bCs/>
                <w:szCs w:val="21"/>
              </w:rPr>
              <w:t>45.16±1.02</w:t>
            </w:r>
          </w:p>
        </w:tc>
        <w:tc>
          <w:tcPr>
            <w:tcW w:w="2941" w:type="dxa"/>
            <w:tcBorders>
              <w:top w:val="nil"/>
              <w:left w:val="nil"/>
              <w:bottom w:val="nil"/>
              <w:right w:val="nil"/>
            </w:tcBorders>
            <w:vAlign w:val="center"/>
          </w:tcPr>
          <w:p w14:paraId="5EADB077">
            <w:pPr>
              <w:jc w:val="center"/>
              <w:rPr>
                <w:rFonts w:ascii="Times New Roman" w:hAnsi="Times New Roman" w:eastAsia="宋体" w:cs="Times New Roman"/>
                <w:bCs/>
                <w:szCs w:val="21"/>
              </w:rPr>
            </w:pPr>
            <w:r>
              <w:rPr>
                <w:rFonts w:ascii="Times New Roman" w:hAnsi="Times New Roman" w:eastAsia="宋体" w:cs="Times New Roman"/>
                <w:bCs/>
                <w:szCs w:val="21"/>
              </w:rPr>
              <w:t>42.70±2.11</w:t>
            </w:r>
          </w:p>
        </w:tc>
      </w:tr>
      <w:tr w14:paraId="340F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nil"/>
              <w:left w:val="nil"/>
              <w:bottom w:val="nil"/>
              <w:right w:val="nil"/>
            </w:tcBorders>
          </w:tcPr>
          <w:p w14:paraId="6472D331">
            <w:pPr>
              <w:spacing w:line="480" w:lineRule="auto"/>
              <w:jc w:val="center"/>
              <w:rPr>
                <w:rFonts w:ascii="Times New Roman" w:hAnsi="Times New Roman" w:cs="Times New Roman"/>
                <w:bCs/>
                <w:szCs w:val="21"/>
              </w:rPr>
            </w:pPr>
            <w:r>
              <w:rPr>
                <w:rFonts w:ascii="Times New Roman" w:hAnsi="Times New Roman" w:cs="Times New Roman"/>
                <w:bCs/>
                <w:szCs w:val="21"/>
              </w:rPr>
              <w:t>TN (%)</w:t>
            </w:r>
          </w:p>
        </w:tc>
        <w:tc>
          <w:tcPr>
            <w:tcW w:w="1556" w:type="dxa"/>
            <w:tcBorders>
              <w:top w:val="nil"/>
              <w:left w:val="nil"/>
              <w:bottom w:val="nil"/>
              <w:right w:val="nil"/>
            </w:tcBorders>
            <w:vAlign w:val="center"/>
          </w:tcPr>
          <w:p w14:paraId="241CE0A9">
            <w:pPr>
              <w:jc w:val="center"/>
              <w:rPr>
                <w:rFonts w:ascii="Times New Roman" w:hAnsi="Times New Roman" w:eastAsia="宋体" w:cs="Times New Roman"/>
                <w:bCs/>
                <w:szCs w:val="21"/>
              </w:rPr>
            </w:pPr>
            <w:r>
              <w:rPr>
                <w:rFonts w:ascii="Times New Roman" w:hAnsi="Times New Roman" w:eastAsia="宋体" w:cs="Times New Roman"/>
                <w:bCs/>
                <w:szCs w:val="21"/>
              </w:rPr>
              <w:t>3.05±0.15</w:t>
            </w:r>
          </w:p>
        </w:tc>
        <w:tc>
          <w:tcPr>
            <w:tcW w:w="1433" w:type="dxa"/>
            <w:tcBorders>
              <w:top w:val="nil"/>
              <w:left w:val="nil"/>
              <w:bottom w:val="nil"/>
              <w:right w:val="nil"/>
            </w:tcBorders>
            <w:vAlign w:val="center"/>
          </w:tcPr>
          <w:p w14:paraId="02E36F6B">
            <w:pPr>
              <w:jc w:val="center"/>
              <w:rPr>
                <w:rFonts w:ascii="Times New Roman" w:hAnsi="Times New Roman" w:eastAsia="宋体" w:cs="Times New Roman"/>
                <w:bCs/>
                <w:szCs w:val="21"/>
              </w:rPr>
            </w:pPr>
            <w:r>
              <w:rPr>
                <w:rFonts w:ascii="Times New Roman" w:hAnsi="Times New Roman" w:eastAsia="宋体" w:cs="Times New Roman"/>
                <w:bCs/>
                <w:szCs w:val="21"/>
              </w:rPr>
              <w:t>0.57±0.02</w:t>
            </w:r>
          </w:p>
        </w:tc>
        <w:tc>
          <w:tcPr>
            <w:tcW w:w="2941" w:type="dxa"/>
            <w:tcBorders>
              <w:top w:val="nil"/>
              <w:left w:val="nil"/>
              <w:bottom w:val="nil"/>
              <w:right w:val="nil"/>
            </w:tcBorders>
            <w:vAlign w:val="center"/>
          </w:tcPr>
          <w:p w14:paraId="6A35FBF0">
            <w:pPr>
              <w:jc w:val="center"/>
              <w:rPr>
                <w:rFonts w:ascii="Times New Roman" w:hAnsi="Times New Roman" w:eastAsia="宋体" w:cs="Times New Roman"/>
                <w:bCs/>
                <w:szCs w:val="21"/>
              </w:rPr>
            </w:pPr>
            <w:r>
              <w:rPr>
                <w:rFonts w:ascii="Times New Roman" w:hAnsi="Times New Roman" w:eastAsia="宋体" w:cs="Times New Roman"/>
                <w:bCs/>
                <w:szCs w:val="21"/>
              </w:rPr>
              <w:t>2.27±0.08</w:t>
            </w:r>
          </w:p>
        </w:tc>
      </w:tr>
    </w:tbl>
    <w:p w14:paraId="674C1747">
      <w:pPr>
        <w:spacing w:line="480" w:lineRule="auto"/>
        <w:rPr>
          <w:rFonts w:ascii="Times New Roman" w:hAnsi="Times New Roman" w:cs="Times New Roman"/>
          <w:b/>
          <w:sz w:val="24"/>
        </w:rPr>
      </w:pPr>
    </w:p>
    <w:p w14:paraId="0BC60677">
      <w:pPr>
        <w:spacing w:line="480" w:lineRule="auto"/>
        <w:rPr>
          <w:rFonts w:hint="eastAsia" w:ascii="Times New Roman" w:hAnsi="Times New Roman" w:cs="Times New Roman"/>
          <w:b/>
          <w:sz w:val="24"/>
          <w:lang w:val="en-US" w:eastAsia="zh-CN"/>
        </w:rPr>
      </w:pPr>
      <w:r>
        <w:rPr>
          <w:rFonts w:ascii="Times New Roman" w:hAnsi="Times New Roman" w:cs="Times New Roman"/>
          <w:b/>
          <w:sz w:val="24"/>
        </w:rPr>
        <w:t>Figure</w:t>
      </w:r>
      <w:r>
        <w:rPr>
          <w:rFonts w:hint="eastAsia" w:ascii="Times New Roman" w:hAnsi="Times New Roman" w:cs="Times New Roman"/>
          <w:b/>
          <w:sz w:val="24"/>
          <w:lang w:val="en-US" w:eastAsia="zh-CN"/>
        </w:rPr>
        <w:t xml:space="preserve"> A.1 </w:t>
      </w:r>
      <w:r>
        <w:rPr>
          <w:rFonts w:hint="eastAsia" w:ascii="Times New Roman" w:hAnsi="Times New Roman" w:cs="Times New Roman"/>
          <w:b w:val="0"/>
          <w:bCs/>
          <w:sz w:val="24"/>
          <w:lang w:val="en-US" w:eastAsia="zh-CN"/>
        </w:rPr>
        <w:t>Schematic diagram of the experimental design.</w:t>
      </w:r>
    </w:p>
    <w:p w14:paraId="3E7D07A8">
      <w:pPr>
        <w:spacing w:line="480" w:lineRule="auto"/>
        <w:rPr>
          <w:rFonts w:hint="eastAsia" w:ascii="Times New Roman" w:hAnsi="Times New Roman" w:cs="Times New Roman"/>
          <w:b/>
          <w:sz w:val="24"/>
          <w:lang w:val="en-US" w:eastAsia="zh-CN"/>
        </w:rPr>
      </w:pPr>
      <w:r>
        <w:rPr>
          <w:rFonts w:ascii="Times New Roman" w:hAnsi="Times New Roman" w:eastAsia="宋体" w:cs="Times New Roman"/>
          <w:sz w:val="24"/>
          <w:szCs w:val="24"/>
          <w:highlight w:val="none"/>
        </w:rPr>
        <w:drawing>
          <wp:inline distT="0" distB="0" distL="114300" distR="114300">
            <wp:extent cx="5268595" cy="2734310"/>
            <wp:effectExtent l="0" t="0" r="1905" b="0"/>
            <wp:docPr id="8" name="图片 8"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 1"/>
                    <pic:cNvPicPr>
                      <a:picLocks noChangeAspect="1"/>
                    </pic:cNvPicPr>
                  </pic:nvPicPr>
                  <pic:blipFill>
                    <a:blip r:embed="rId5"/>
                    <a:stretch>
                      <a:fillRect/>
                    </a:stretch>
                  </pic:blipFill>
                  <pic:spPr>
                    <a:xfrm>
                      <a:off x="0" y="0"/>
                      <a:ext cx="5268595" cy="2734310"/>
                    </a:xfrm>
                    <a:prstGeom prst="rect">
                      <a:avLst/>
                    </a:prstGeom>
                  </pic:spPr>
                </pic:pic>
              </a:graphicData>
            </a:graphic>
          </wp:inline>
        </w:drawing>
      </w:r>
    </w:p>
    <w:p w14:paraId="4A4AB1A8">
      <w:pPr>
        <w:spacing w:line="480" w:lineRule="auto"/>
        <w:jc w:val="both"/>
        <w:rPr>
          <w:rFonts w:ascii="Times New Roman" w:hAnsi="Times New Roman" w:cs="Times New Roman"/>
          <w:b/>
          <w:sz w:val="24"/>
        </w:rPr>
      </w:pPr>
    </w:p>
    <w:p w14:paraId="7DC44A93">
      <w:pPr>
        <w:spacing w:line="480" w:lineRule="auto"/>
        <w:jc w:val="both"/>
        <w:rPr>
          <w:rFonts w:ascii="Times New Roman" w:hAnsi="Times New Roman" w:cs="Times New Roman"/>
          <w:b/>
          <w:sz w:val="24"/>
        </w:rPr>
      </w:pPr>
    </w:p>
    <w:p w14:paraId="422029CC">
      <w:pPr>
        <w:spacing w:line="480" w:lineRule="auto"/>
        <w:jc w:val="both"/>
        <w:rPr>
          <w:rFonts w:ascii="Times New Roman" w:hAnsi="Times New Roman" w:cs="Times New Roman"/>
          <w:b/>
          <w:sz w:val="24"/>
        </w:rPr>
      </w:pPr>
    </w:p>
    <w:p w14:paraId="328E5DB0">
      <w:pPr>
        <w:spacing w:line="480" w:lineRule="auto"/>
        <w:jc w:val="both"/>
        <w:rPr>
          <w:rFonts w:ascii="Times New Roman" w:hAnsi="Times New Roman" w:cs="Times New Roman"/>
          <w:b/>
          <w:sz w:val="24"/>
        </w:rPr>
      </w:pPr>
    </w:p>
    <w:p w14:paraId="0C1BACAB">
      <w:pPr>
        <w:spacing w:line="480" w:lineRule="auto"/>
        <w:jc w:val="both"/>
        <w:rPr>
          <w:rFonts w:ascii="Times New Roman" w:hAnsi="Times New Roman" w:cs="Times New Roman"/>
          <w:b/>
          <w:sz w:val="24"/>
        </w:rPr>
      </w:pPr>
    </w:p>
    <w:p w14:paraId="6B37C6BF">
      <w:pPr>
        <w:spacing w:line="480" w:lineRule="auto"/>
        <w:jc w:val="both"/>
        <w:rPr>
          <w:rFonts w:ascii="Times New Roman" w:hAnsi="Times New Roman" w:cs="Times New Roman"/>
          <w:b/>
          <w:sz w:val="24"/>
        </w:rPr>
      </w:pPr>
    </w:p>
    <w:p w14:paraId="70F981EB">
      <w:pPr>
        <w:spacing w:line="480" w:lineRule="auto"/>
        <w:jc w:val="both"/>
        <w:rPr>
          <w:rFonts w:ascii="Times New Roman" w:hAnsi="Times New Roman" w:cs="Times New Roman"/>
          <w:b/>
          <w:sz w:val="24"/>
        </w:rPr>
      </w:pPr>
    </w:p>
    <w:p w14:paraId="71E953B5">
      <w:pPr>
        <w:spacing w:line="480" w:lineRule="auto"/>
        <w:jc w:val="both"/>
        <w:rPr>
          <w:rFonts w:ascii="Times New Roman" w:hAnsi="Times New Roman" w:cs="Times New Roman"/>
          <w:b/>
          <w:sz w:val="24"/>
        </w:rPr>
      </w:pPr>
      <w:bookmarkStart w:id="0" w:name="_GoBack"/>
      <w:bookmarkEnd w:id="0"/>
      <w:r>
        <w:rPr>
          <w:rFonts w:ascii="Times New Roman" w:hAnsi="Times New Roman" w:cs="Times New Roman"/>
          <w:b/>
          <w:sz w:val="24"/>
        </w:rPr>
        <w:t>Figure</w:t>
      </w:r>
      <w:r>
        <w:rPr>
          <w:rFonts w:hint="eastAsia" w:ascii="Times New Roman" w:hAnsi="Times New Roman" w:cs="Times New Roman"/>
          <w:b/>
          <w:sz w:val="24"/>
          <w:lang w:val="en-US" w:eastAsia="zh-CN"/>
        </w:rPr>
        <w:t xml:space="preserve"> A.2</w:t>
      </w:r>
      <w:r>
        <w:rPr>
          <w:rFonts w:ascii="Times New Roman" w:hAnsi="Times New Roman" w:cs="Times New Roman"/>
          <w:b/>
          <w:sz w:val="24"/>
        </w:rPr>
        <w:t xml:space="preserve"> </w:t>
      </w:r>
      <w:r>
        <w:rPr>
          <w:rFonts w:hint="eastAsia" w:ascii="Times New Roman" w:hAnsi="Times New Roman" w:cs="Times New Roman"/>
          <w:b w:val="0"/>
          <w:bCs/>
          <w:sz w:val="24"/>
        </w:rPr>
        <w:t>Schematic Diagram of the Dry Anaerobic Fermentation Experimental Setup</w:t>
      </w:r>
      <w:r>
        <w:rPr>
          <w:rFonts w:hint="eastAsia" w:ascii="Times New Roman" w:hAnsi="Times New Roman" w:cs="Times New Roman"/>
          <w:b w:val="0"/>
          <w:bCs/>
          <w:sz w:val="24"/>
          <w:lang w:val="en-US" w:eastAsia="zh-CN"/>
        </w:rPr>
        <w:t>.</w:t>
      </w:r>
      <w:r>
        <w:drawing>
          <wp:inline distT="0" distB="0" distL="114300" distR="114300">
            <wp:extent cx="5268595" cy="1902460"/>
            <wp:effectExtent l="0" t="0" r="1905" b="254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6"/>
                    <a:stretch>
                      <a:fillRect/>
                    </a:stretch>
                  </pic:blipFill>
                  <pic:spPr>
                    <a:xfrm>
                      <a:off x="0" y="0"/>
                      <a:ext cx="5268595" cy="1902460"/>
                    </a:xfrm>
                    <a:prstGeom prst="rect">
                      <a:avLst/>
                    </a:prstGeom>
                    <a:noFill/>
                    <a:ln>
                      <a:noFill/>
                    </a:ln>
                  </pic:spPr>
                </pic:pic>
              </a:graphicData>
            </a:graphic>
          </wp:inline>
        </w:drawing>
      </w:r>
    </w:p>
    <w:p w14:paraId="0265C45C">
      <w:pPr>
        <w:jc w:val="center"/>
        <w:rPr>
          <w:rFonts w:hint="default" w:ascii="Times New Roman" w:hAnsi="Times New Roman" w:eastAsia="楷体"/>
          <w:b w:val="0"/>
          <w:bCs w:val="0"/>
          <w:sz w:val="24"/>
          <w:szCs w:val="24"/>
          <w:lang w:val="en-US" w:eastAsia="zh-CN"/>
        </w:rPr>
      </w:pPr>
    </w:p>
    <w:p w14:paraId="771B679C">
      <w:pPr>
        <w:jc w:val="both"/>
        <w:rPr>
          <w:rFonts w:hint="default" w:ascii="Times New Roman" w:hAnsi="Times New Roman" w:eastAsia="楷体"/>
          <w:b w:val="0"/>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1E40CA"/>
    <w:rsid w:val="0DC14423"/>
    <w:rsid w:val="104018E5"/>
    <w:rsid w:val="18FC0A05"/>
    <w:rsid w:val="1E42335E"/>
    <w:rsid w:val="21372410"/>
    <w:rsid w:val="333D3C9C"/>
    <w:rsid w:val="35BC7482"/>
    <w:rsid w:val="42976873"/>
    <w:rsid w:val="57555A3D"/>
    <w:rsid w:val="5E1068E1"/>
    <w:rsid w:val="5E753F55"/>
    <w:rsid w:val="76915F62"/>
    <w:rsid w:val="7B2B7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7"/>
    <w:qFormat/>
    <w:uiPriority w:val="0"/>
    <w:pPr>
      <w:keepNext/>
      <w:keepLines/>
      <w:spacing w:before="480" w:beforeLines="0" w:beforeAutospacing="0" w:after="360" w:afterLines="0" w:afterAutospacing="0" w:line="240" w:lineRule="auto"/>
      <w:outlineLvl w:val="0"/>
    </w:pPr>
    <w:rPr>
      <w:rFonts w:ascii="Times New Roman" w:hAnsi="Times New Roman" w:eastAsia="黑体" w:cs="Times New Roman"/>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cs="Times New Roman"/>
      <w:b/>
      <w:sz w:val="30"/>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标题 1 Char"/>
    <w:link w:val="2"/>
    <w:qFormat/>
    <w:uiPriority w:val="0"/>
    <w:rPr>
      <w:rFonts w:ascii="Times New Roman" w:hAnsi="Times New Roman" w:eastAsia="黑体" w:cs="Times New Roman"/>
      <w:kern w:val="44"/>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212</Words>
  <Characters>1205</Characters>
  <Lines>0</Lines>
  <Paragraphs>0</Paragraphs>
  <TotalTime>3</TotalTime>
  <ScaleCrop>false</ScaleCrop>
  <LinksUpToDate>false</LinksUpToDate>
  <CharactersWithSpaces>1405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2025-11-11T14:03:00Z</dcterms:created>
  <dc:creator>18344</dc:creator>
  <cp:lastModifiedBy>刘朔</cp:lastModifiedBy>
  <dcterms:modified xsi:type="dcterms:W3CDTF">2026-07-27T12:52:38Z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081EE70AFCFC4D489336A12E1215B6D5_12</vt:lpwstr>
  </property>
  <property fmtid="{D5CDD505-2E9C-101B-9397-08002B2CF9AE}" pid="4" name="KSOTemplateDocerSaveRecord">
    <vt:lpwstr>eyJoZGlkIjoiNjMzYWU5NDNiMjYyNTA5MmI4YmYyZTQzZjFhMTU3ZDIiLCJ1c2VySWQiOiIxNzMzNTgxNDI3In0=</vt:lpwstr>
  </property>
</Properties>
</file>