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F6E" w:rsidRDefault="00ED2F6E" w:rsidP="00ED2F6E">
      <w:pPr>
        <w:pStyle w:val="Heading1"/>
      </w:pPr>
      <w:r>
        <w:t xml:space="preserve">Supplementary material </w:t>
      </w:r>
    </w:p>
    <w:p w:rsidR="00ED2F6E" w:rsidRPr="00DE19FF" w:rsidRDefault="00ED2F6E" w:rsidP="00ED2F6E">
      <w:pPr>
        <w:pStyle w:val="Tablular"/>
      </w:pPr>
      <w:r>
        <w:t>Table S1</w:t>
      </w:r>
      <w:r w:rsidRPr="00DE19FF">
        <w:t>: C</w:t>
      </w:r>
      <w:r>
        <w:t xml:space="preserve">haracteristics of mixed sludge (digester feed) </w:t>
      </w:r>
      <w:r w:rsidRPr="00DE19FF">
        <w:t xml:space="preserve">from </w:t>
      </w:r>
      <w:r>
        <w:t xml:space="preserve">the </w:t>
      </w:r>
      <w:r w:rsidRPr="007F1584">
        <w:t>secondary</w:t>
      </w:r>
      <w:r>
        <w:t xml:space="preserve"> wastewater treatment facility</w:t>
      </w:r>
    </w:p>
    <w:tbl>
      <w:tblPr>
        <w:tblW w:w="7555" w:type="dxa"/>
        <w:jc w:val="center"/>
        <w:tblLook w:val="04A0" w:firstRow="1" w:lastRow="0" w:firstColumn="1" w:lastColumn="0" w:noHBand="0" w:noVBand="1"/>
      </w:tblPr>
      <w:tblGrid>
        <w:gridCol w:w="3952"/>
        <w:gridCol w:w="3603"/>
      </w:tblGrid>
      <w:tr w:rsidR="00ED2F6E" w:rsidRPr="00914002" w:rsidTr="00011B50">
        <w:trPr>
          <w:trHeight w:val="420"/>
          <w:jc w:val="center"/>
        </w:trPr>
        <w:tc>
          <w:tcPr>
            <w:tcW w:w="3952" w:type="dxa"/>
            <w:tcBorders>
              <w:top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b/>
                <w:bCs/>
                <w:color w:val="000000"/>
                <w:sz w:val="20"/>
                <w:lang w:eastAsia="en-CA"/>
              </w:rPr>
              <w:t>Parameter</w:t>
            </w:r>
          </w:p>
        </w:tc>
        <w:tc>
          <w:tcPr>
            <w:tcW w:w="3603" w:type="dxa"/>
            <w:tcBorders>
              <w:top w:val="single" w:sz="12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b/>
                <w:bCs/>
                <w:color w:val="000000"/>
                <w:sz w:val="20"/>
                <w:lang w:eastAsia="en-CA"/>
              </w:rPr>
              <w:t>Average (std. dev.; n)</w:t>
            </w:r>
          </w:p>
        </w:tc>
      </w:tr>
      <w:tr w:rsidR="00ED2F6E" w:rsidRPr="00914002" w:rsidTr="00011B50">
        <w:trPr>
          <w:trHeight w:val="399"/>
          <w:jc w:val="center"/>
        </w:trPr>
        <w:tc>
          <w:tcPr>
            <w:tcW w:w="3952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>pH</w:t>
            </w:r>
          </w:p>
        </w:tc>
        <w:tc>
          <w:tcPr>
            <w:tcW w:w="3603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  <w:t xml:space="preserve">5.8 (0.2; 14)* </w:t>
            </w:r>
          </w:p>
        </w:tc>
      </w:tr>
      <w:tr w:rsidR="00ED2F6E" w:rsidRPr="00914002" w:rsidTr="00011B50">
        <w:trPr>
          <w:trHeight w:val="399"/>
          <w:jc w:val="center"/>
        </w:trPr>
        <w:tc>
          <w:tcPr>
            <w:tcW w:w="3952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</w:pPr>
            <w:proofErr w:type="spellStart"/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>TS</w:t>
            </w:r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vertAlign w:val="superscript"/>
                <w:lang w:eastAsia="en-CA"/>
              </w:rPr>
              <w:t>a</w:t>
            </w:r>
            <w:proofErr w:type="spellEnd"/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 xml:space="preserve"> (% w/w)</w:t>
            </w:r>
          </w:p>
        </w:tc>
        <w:tc>
          <w:tcPr>
            <w:tcW w:w="360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  <w:t>3.67 (0.3; 18)</w:t>
            </w:r>
          </w:p>
        </w:tc>
      </w:tr>
      <w:tr w:rsidR="00ED2F6E" w:rsidRPr="00914002" w:rsidTr="00011B50">
        <w:trPr>
          <w:trHeight w:val="399"/>
          <w:jc w:val="center"/>
        </w:trPr>
        <w:tc>
          <w:tcPr>
            <w:tcW w:w="3952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uppressLineNumbers/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</w:pPr>
            <w:proofErr w:type="spellStart"/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>VS</w:t>
            </w:r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vertAlign w:val="superscript"/>
                <w:lang w:eastAsia="en-CA"/>
              </w:rPr>
              <w:t>b</w:t>
            </w:r>
            <w:proofErr w:type="spellEnd"/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 xml:space="preserve"> (% w/w)</w:t>
            </w:r>
          </w:p>
        </w:tc>
        <w:tc>
          <w:tcPr>
            <w:tcW w:w="360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  <w:t>3.26 (0.2; 18)</w:t>
            </w:r>
          </w:p>
        </w:tc>
      </w:tr>
      <w:tr w:rsidR="00ED2F6E" w:rsidRPr="00914002" w:rsidTr="00011B50">
        <w:trPr>
          <w:trHeight w:val="399"/>
          <w:jc w:val="center"/>
        </w:trPr>
        <w:tc>
          <w:tcPr>
            <w:tcW w:w="3952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>Ammonia (mg/L)</w:t>
            </w:r>
          </w:p>
        </w:tc>
        <w:tc>
          <w:tcPr>
            <w:tcW w:w="360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  <w:t>662 (52; 12)</w:t>
            </w:r>
          </w:p>
        </w:tc>
      </w:tr>
      <w:tr w:rsidR="00ED2F6E" w:rsidRPr="00914002" w:rsidTr="00011B50">
        <w:trPr>
          <w:trHeight w:val="399"/>
          <w:jc w:val="center"/>
        </w:trPr>
        <w:tc>
          <w:tcPr>
            <w:tcW w:w="3952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>Nitrate (mg/L)</w:t>
            </w:r>
          </w:p>
        </w:tc>
        <w:tc>
          <w:tcPr>
            <w:tcW w:w="360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  <w:t>14.3 (4.5; 12)</w:t>
            </w:r>
          </w:p>
        </w:tc>
      </w:tr>
      <w:tr w:rsidR="00ED2F6E" w:rsidRPr="00914002" w:rsidTr="00011B50">
        <w:trPr>
          <w:trHeight w:val="399"/>
          <w:jc w:val="center"/>
        </w:trPr>
        <w:tc>
          <w:tcPr>
            <w:tcW w:w="3952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>Nitrite (mg/L)</w:t>
            </w:r>
          </w:p>
        </w:tc>
        <w:tc>
          <w:tcPr>
            <w:tcW w:w="360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  <w:t>0.004 (0.003; 12)</w:t>
            </w:r>
          </w:p>
        </w:tc>
      </w:tr>
      <w:tr w:rsidR="00ED2F6E" w:rsidRPr="00914002" w:rsidTr="00011B50">
        <w:trPr>
          <w:trHeight w:val="399"/>
          <w:jc w:val="center"/>
        </w:trPr>
        <w:tc>
          <w:tcPr>
            <w:tcW w:w="3952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>Orthophosphate (mg/L)</w:t>
            </w:r>
          </w:p>
        </w:tc>
        <w:tc>
          <w:tcPr>
            <w:tcW w:w="360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  <w:t>251 (23; 12)</w:t>
            </w:r>
          </w:p>
        </w:tc>
      </w:tr>
      <w:tr w:rsidR="00ED2F6E" w:rsidRPr="00914002" w:rsidTr="00011B50">
        <w:trPr>
          <w:trHeight w:val="399"/>
          <w:jc w:val="center"/>
        </w:trPr>
        <w:tc>
          <w:tcPr>
            <w:tcW w:w="3952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>Alkalinity (mg as CaCO</w:t>
            </w:r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vertAlign w:val="subscript"/>
                <w:lang w:eastAsia="en-CA"/>
              </w:rPr>
              <w:t>3</w:t>
            </w:r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>/L)</w:t>
            </w:r>
          </w:p>
        </w:tc>
        <w:tc>
          <w:tcPr>
            <w:tcW w:w="360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  <w:t>1767 (81; 12)</w:t>
            </w:r>
          </w:p>
        </w:tc>
      </w:tr>
      <w:tr w:rsidR="00ED2F6E" w:rsidRPr="00914002" w:rsidTr="00011B50">
        <w:trPr>
          <w:trHeight w:val="399"/>
          <w:jc w:val="center"/>
        </w:trPr>
        <w:tc>
          <w:tcPr>
            <w:tcW w:w="3952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</w:pPr>
            <w:proofErr w:type="spellStart"/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>COD</w:t>
            </w:r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vertAlign w:val="superscript"/>
                <w:lang w:eastAsia="en-CA"/>
              </w:rPr>
              <w:t>c</w:t>
            </w:r>
            <w:proofErr w:type="spellEnd"/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 xml:space="preserve"> (mg/L)</w:t>
            </w:r>
          </w:p>
        </w:tc>
        <w:tc>
          <w:tcPr>
            <w:tcW w:w="360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  <w:t>57,557 (2233; 12)</w:t>
            </w:r>
          </w:p>
        </w:tc>
      </w:tr>
      <w:tr w:rsidR="00ED2F6E" w:rsidRPr="00914002" w:rsidTr="00011B50">
        <w:trPr>
          <w:trHeight w:val="202"/>
          <w:jc w:val="center"/>
        </w:trPr>
        <w:tc>
          <w:tcPr>
            <w:tcW w:w="3952" w:type="dxa"/>
            <w:tcBorders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:rsidR="00ED2F6E" w:rsidRPr="005806C4" w:rsidRDefault="00ED2F6E" w:rsidP="001049F0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</w:pPr>
            <w:proofErr w:type="spellStart"/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>TVFA</w:t>
            </w:r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vertAlign w:val="superscript"/>
                <w:lang w:eastAsia="en-CA"/>
              </w:rPr>
              <w:t>d</w:t>
            </w:r>
            <w:proofErr w:type="spellEnd"/>
            <w:r w:rsidRPr="005806C4">
              <w:rPr>
                <w:rFonts w:ascii="Times New Roman" w:hAnsi="Times New Roman" w:cs="Times New Roman"/>
                <w:bCs/>
                <w:color w:val="000000"/>
                <w:sz w:val="20"/>
                <w:lang w:eastAsia="en-CA"/>
              </w:rPr>
              <w:t xml:space="preserve"> (mg/L)</w:t>
            </w:r>
          </w:p>
        </w:tc>
        <w:tc>
          <w:tcPr>
            <w:tcW w:w="3603" w:type="dxa"/>
            <w:tcBorders>
              <w:left w:val="nil"/>
              <w:bottom w:val="single" w:sz="12" w:space="0" w:color="auto"/>
            </w:tcBorders>
            <w:shd w:val="clear" w:color="auto" w:fill="auto"/>
            <w:noWrap/>
            <w:vAlign w:val="center"/>
          </w:tcPr>
          <w:p w:rsidR="00ED2F6E" w:rsidRPr="005806C4" w:rsidRDefault="00ED2F6E" w:rsidP="001049F0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</w:pPr>
            <w:r w:rsidRPr="005806C4">
              <w:rPr>
                <w:rFonts w:ascii="Times New Roman" w:hAnsi="Times New Roman" w:cs="Times New Roman"/>
                <w:color w:val="000000"/>
                <w:sz w:val="20"/>
                <w:lang w:eastAsia="en-CA"/>
              </w:rPr>
              <w:t>2,568 (162; 12)</w:t>
            </w:r>
          </w:p>
        </w:tc>
      </w:tr>
    </w:tbl>
    <w:p w:rsidR="00ED2F6E" w:rsidRDefault="00ED2F6E" w:rsidP="00011B50">
      <w:pPr>
        <w:suppressLineNumbers/>
        <w:spacing w:before="0" w:line="240" w:lineRule="auto"/>
        <w:ind w:left="72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5806C4">
        <w:rPr>
          <w:rFonts w:ascii="Times New Roman" w:hAnsi="Times New Roman" w:cs="Times New Roman"/>
          <w:sz w:val="20"/>
          <w:vertAlign w:val="superscript"/>
        </w:rPr>
        <w:t>a</w:t>
      </w:r>
      <w:r w:rsidR="00C1640B">
        <w:rPr>
          <w:rFonts w:ascii="Times New Roman" w:hAnsi="Times New Roman" w:cs="Times New Roman"/>
          <w:sz w:val="20"/>
        </w:rPr>
        <w:t>TS</w:t>
      </w:r>
      <w:proofErr w:type="spellEnd"/>
      <w:proofErr w:type="gramEnd"/>
      <w:r w:rsidR="00C1640B">
        <w:rPr>
          <w:rFonts w:ascii="Times New Roman" w:hAnsi="Times New Roman" w:cs="Times New Roman"/>
          <w:sz w:val="20"/>
        </w:rPr>
        <w:t>: total solids,</w:t>
      </w:r>
      <w:r w:rsidRPr="005806C4">
        <w:rPr>
          <w:rFonts w:ascii="Times New Roman" w:hAnsi="Times New Roman" w:cs="Times New Roman"/>
          <w:sz w:val="20"/>
        </w:rPr>
        <w:t xml:space="preserve"> </w:t>
      </w:r>
      <w:r w:rsidRPr="007F1584">
        <w:rPr>
          <w:rFonts w:ascii="Times New Roman" w:hAnsi="Times New Roman" w:cs="Times New Roman"/>
          <w:noProof/>
          <w:sz w:val="20"/>
          <w:vertAlign w:val="superscript"/>
        </w:rPr>
        <w:t>b</w:t>
      </w:r>
      <w:r w:rsidRPr="007F1584">
        <w:rPr>
          <w:rFonts w:ascii="Times New Roman" w:hAnsi="Times New Roman" w:cs="Times New Roman"/>
          <w:noProof/>
          <w:sz w:val="20"/>
        </w:rPr>
        <w:t>VS</w:t>
      </w:r>
      <w:r w:rsidRPr="005806C4">
        <w:rPr>
          <w:rFonts w:ascii="Times New Roman" w:hAnsi="Times New Roman" w:cs="Times New Roman"/>
          <w:sz w:val="20"/>
        </w:rPr>
        <w:t xml:space="preserve">: volatile solids, </w:t>
      </w:r>
      <w:proofErr w:type="spellStart"/>
      <w:r w:rsidRPr="005806C4">
        <w:rPr>
          <w:rFonts w:ascii="Times New Roman" w:hAnsi="Times New Roman" w:cs="Times New Roman"/>
          <w:sz w:val="20"/>
          <w:vertAlign w:val="superscript"/>
        </w:rPr>
        <w:t>c</w:t>
      </w:r>
      <w:r w:rsidRPr="005806C4">
        <w:rPr>
          <w:rFonts w:ascii="Times New Roman" w:hAnsi="Times New Roman" w:cs="Times New Roman"/>
          <w:sz w:val="20"/>
        </w:rPr>
        <w:t>COD</w:t>
      </w:r>
      <w:proofErr w:type="spellEnd"/>
      <w:r w:rsidRPr="005806C4">
        <w:rPr>
          <w:rFonts w:ascii="Times New Roman" w:hAnsi="Times New Roman" w:cs="Times New Roman"/>
          <w:sz w:val="20"/>
        </w:rPr>
        <w:t xml:space="preserve">: chemical oxygen demands, </w:t>
      </w:r>
      <w:proofErr w:type="spellStart"/>
      <w:r w:rsidRPr="005806C4">
        <w:rPr>
          <w:rFonts w:ascii="Times New Roman" w:hAnsi="Times New Roman" w:cs="Times New Roman"/>
          <w:sz w:val="20"/>
          <w:vertAlign w:val="superscript"/>
        </w:rPr>
        <w:t>d</w:t>
      </w:r>
      <w:r w:rsidRPr="005806C4">
        <w:rPr>
          <w:rFonts w:ascii="Times New Roman" w:hAnsi="Times New Roman" w:cs="Times New Roman"/>
          <w:sz w:val="20"/>
        </w:rPr>
        <w:t>TVFA</w:t>
      </w:r>
      <w:proofErr w:type="spellEnd"/>
      <w:r w:rsidRPr="005806C4">
        <w:rPr>
          <w:rFonts w:ascii="Times New Roman" w:hAnsi="Times New Roman" w:cs="Times New Roman"/>
          <w:sz w:val="20"/>
        </w:rPr>
        <w:t>: total volatile fatty acids. *Data represent mean of replicates (std. dev.: standard deviation, n: number of replicates).</w:t>
      </w:r>
    </w:p>
    <w:p w:rsidR="00ED2F6E" w:rsidRDefault="00ED2F6E" w:rsidP="00ED2F6E">
      <w:pPr>
        <w:suppressLineNumbers/>
        <w:spacing w:line="240" w:lineRule="auto"/>
        <w:rPr>
          <w:rFonts w:ascii="Times New Roman" w:hAnsi="Times New Roman" w:cs="Times New Roman"/>
          <w:sz w:val="20"/>
        </w:rPr>
      </w:pPr>
    </w:p>
    <w:p w:rsidR="00ED2F6E" w:rsidRPr="004F6320" w:rsidRDefault="00ED2F6E" w:rsidP="00ED2F6E">
      <w:pPr>
        <w:pStyle w:val="Tablular"/>
        <w:rPr>
          <w:rFonts w:cs="Times New Roman"/>
        </w:rPr>
      </w:pPr>
      <w:r>
        <w:t>Table S2:</w:t>
      </w:r>
      <w:r w:rsidRPr="0018014A">
        <w:t xml:space="preserve"> </w:t>
      </w:r>
      <w:r>
        <w:t>Characteristics of anaerobic inoculum</w:t>
      </w:r>
      <w:r w:rsidRPr="00E911B0">
        <w:t xml:space="preserve"> used to start up the </w:t>
      </w:r>
      <w:r>
        <w:t>automated digesters</w:t>
      </w:r>
    </w:p>
    <w:tbl>
      <w:tblPr>
        <w:tblW w:w="8683" w:type="dxa"/>
        <w:jc w:val="center"/>
        <w:tblLook w:val="04A0" w:firstRow="1" w:lastRow="0" w:firstColumn="1" w:lastColumn="0" w:noHBand="0" w:noVBand="1"/>
      </w:tblPr>
      <w:tblGrid>
        <w:gridCol w:w="4434"/>
        <w:gridCol w:w="222"/>
        <w:gridCol w:w="4043"/>
      </w:tblGrid>
      <w:tr w:rsidR="00ED2F6E" w:rsidRPr="00914002" w:rsidTr="00C1640B">
        <w:trPr>
          <w:trHeight w:val="378"/>
          <w:jc w:val="center"/>
        </w:trPr>
        <w:tc>
          <w:tcPr>
            <w:tcW w:w="4434" w:type="dxa"/>
            <w:tcBorders>
              <w:top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CA"/>
              </w:rPr>
              <w:t>Parameter</w:t>
            </w:r>
          </w:p>
        </w:tc>
        <w:tc>
          <w:tcPr>
            <w:tcW w:w="206" w:type="dxa"/>
            <w:tcBorders>
              <w:top w:val="single" w:sz="12" w:space="0" w:color="auto"/>
              <w:bottom w:val="single" w:sz="4" w:space="0" w:color="auto"/>
              <w:right w:val="nil"/>
            </w:tcBorders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4043" w:type="dxa"/>
            <w:tcBorders>
              <w:top w:val="single" w:sz="12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CA"/>
              </w:rPr>
              <w:t xml:space="preserve">Average </w:t>
            </w:r>
          </w:p>
        </w:tc>
      </w:tr>
      <w:tr w:rsidR="00ED2F6E" w:rsidRPr="00914002" w:rsidTr="00C1640B">
        <w:trPr>
          <w:trHeight w:val="360"/>
          <w:jc w:val="center"/>
        </w:trPr>
        <w:tc>
          <w:tcPr>
            <w:tcW w:w="4434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  <w:t>pH</w:t>
            </w:r>
          </w:p>
        </w:tc>
        <w:tc>
          <w:tcPr>
            <w:tcW w:w="206" w:type="dxa"/>
            <w:tcBorders>
              <w:top w:val="single" w:sz="4" w:space="0" w:color="auto"/>
              <w:bottom w:val="nil"/>
              <w:right w:val="nil"/>
            </w:tcBorders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4043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  <w:t xml:space="preserve">5.80 (0.2)* </w:t>
            </w:r>
          </w:p>
        </w:tc>
      </w:tr>
      <w:tr w:rsidR="00ED2F6E" w:rsidRPr="00914002" w:rsidTr="00C1640B">
        <w:trPr>
          <w:trHeight w:val="360"/>
          <w:jc w:val="center"/>
        </w:trPr>
        <w:tc>
          <w:tcPr>
            <w:tcW w:w="4434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</w:pPr>
            <w:r w:rsidRPr="007F1584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0"/>
                <w:szCs w:val="20"/>
                <w:lang w:eastAsia="en-CA"/>
              </w:rPr>
              <w:t>TS</w:t>
            </w:r>
            <w:r w:rsidRPr="007F1584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0"/>
                <w:szCs w:val="20"/>
                <w:vertAlign w:val="superscript"/>
                <w:lang w:eastAsia="en-CA"/>
              </w:rPr>
              <w:t>a</w:t>
            </w:r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  <w:t xml:space="preserve"> (% w/w)</w:t>
            </w:r>
          </w:p>
        </w:tc>
        <w:tc>
          <w:tcPr>
            <w:tcW w:w="206" w:type="dxa"/>
            <w:tcBorders>
              <w:top w:val="nil"/>
              <w:bottom w:val="nil"/>
              <w:right w:val="nil"/>
            </w:tcBorders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404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  <w:t>1.80 (0.01)</w:t>
            </w:r>
          </w:p>
        </w:tc>
      </w:tr>
      <w:tr w:rsidR="00ED2F6E" w:rsidRPr="00914002" w:rsidTr="00C1640B">
        <w:trPr>
          <w:trHeight w:val="360"/>
          <w:jc w:val="center"/>
        </w:trPr>
        <w:tc>
          <w:tcPr>
            <w:tcW w:w="4434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uppressLineNumbers/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  <w:t>VS</w:t>
            </w:r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vertAlign w:val="superscript"/>
                <w:lang w:eastAsia="en-CA"/>
              </w:rPr>
              <w:t>b</w:t>
            </w:r>
            <w:proofErr w:type="spellEnd"/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  <w:t xml:space="preserve"> (% w/w)</w:t>
            </w:r>
          </w:p>
        </w:tc>
        <w:tc>
          <w:tcPr>
            <w:tcW w:w="206" w:type="dxa"/>
            <w:tcBorders>
              <w:top w:val="nil"/>
              <w:bottom w:val="nil"/>
              <w:right w:val="nil"/>
            </w:tcBorders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404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  <w:t>1.31 (0.01)</w:t>
            </w:r>
          </w:p>
        </w:tc>
      </w:tr>
      <w:tr w:rsidR="00ED2F6E" w:rsidRPr="00914002" w:rsidTr="00C1640B">
        <w:trPr>
          <w:trHeight w:val="360"/>
          <w:jc w:val="center"/>
        </w:trPr>
        <w:tc>
          <w:tcPr>
            <w:tcW w:w="4434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  <w:t>Ammonia (mg/L)</w:t>
            </w:r>
          </w:p>
        </w:tc>
        <w:tc>
          <w:tcPr>
            <w:tcW w:w="206" w:type="dxa"/>
            <w:tcBorders>
              <w:top w:val="nil"/>
              <w:bottom w:val="nil"/>
              <w:right w:val="nil"/>
            </w:tcBorders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404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  <w:t>1605 (16)</w:t>
            </w:r>
          </w:p>
        </w:tc>
      </w:tr>
      <w:tr w:rsidR="00ED2F6E" w:rsidRPr="00914002" w:rsidTr="00C1640B">
        <w:trPr>
          <w:trHeight w:val="360"/>
          <w:jc w:val="center"/>
        </w:trPr>
        <w:tc>
          <w:tcPr>
            <w:tcW w:w="4434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  <w:t>Orthophosphate (mg/L)</w:t>
            </w:r>
          </w:p>
        </w:tc>
        <w:tc>
          <w:tcPr>
            <w:tcW w:w="206" w:type="dxa"/>
            <w:tcBorders>
              <w:top w:val="nil"/>
              <w:bottom w:val="nil"/>
              <w:right w:val="nil"/>
            </w:tcBorders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404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  <w:t>176 (1.2)</w:t>
            </w:r>
          </w:p>
        </w:tc>
      </w:tr>
      <w:tr w:rsidR="00ED2F6E" w:rsidRPr="00914002" w:rsidTr="00C1640B">
        <w:trPr>
          <w:trHeight w:val="360"/>
          <w:jc w:val="center"/>
        </w:trPr>
        <w:tc>
          <w:tcPr>
            <w:tcW w:w="4434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  <w:t>Alkalinity (mg as CaCO</w:t>
            </w:r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vertAlign w:val="subscript"/>
                <w:lang w:eastAsia="en-CA"/>
              </w:rPr>
              <w:t>3</w:t>
            </w:r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  <w:t>/L)</w:t>
            </w:r>
          </w:p>
        </w:tc>
        <w:tc>
          <w:tcPr>
            <w:tcW w:w="206" w:type="dxa"/>
            <w:tcBorders>
              <w:top w:val="nil"/>
              <w:bottom w:val="nil"/>
              <w:right w:val="nil"/>
            </w:tcBorders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404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  <w:t>5051 (38)</w:t>
            </w:r>
          </w:p>
        </w:tc>
      </w:tr>
      <w:tr w:rsidR="00ED2F6E" w:rsidRPr="00914002" w:rsidTr="00C1640B">
        <w:trPr>
          <w:trHeight w:val="360"/>
          <w:jc w:val="center"/>
        </w:trPr>
        <w:tc>
          <w:tcPr>
            <w:tcW w:w="4434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  <w:t>COD</w:t>
            </w:r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vertAlign w:val="superscript"/>
                <w:lang w:eastAsia="en-CA"/>
              </w:rPr>
              <w:t>c</w:t>
            </w:r>
            <w:proofErr w:type="spellEnd"/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  <w:t xml:space="preserve"> (mg/L)</w:t>
            </w:r>
          </w:p>
        </w:tc>
        <w:tc>
          <w:tcPr>
            <w:tcW w:w="206" w:type="dxa"/>
            <w:tcBorders>
              <w:top w:val="nil"/>
              <w:bottom w:val="nil"/>
              <w:right w:val="nil"/>
            </w:tcBorders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404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D2F6E" w:rsidRPr="00455779" w:rsidRDefault="00ED2F6E" w:rsidP="001049F0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  <w:t>21,946 (480)</w:t>
            </w:r>
          </w:p>
        </w:tc>
      </w:tr>
      <w:tr w:rsidR="00ED2F6E" w:rsidRPr="00914002" w:rsidTr="00C1640B">
        <w:trPr>
          <w:trHeight w:val="91"/>
          <w:jc w:val="center"/>
        </w:trPr>
        <w:tc>
          <w:tcPr>
            <w:tcW w:w="4434" w:type="dxa"/>
            <w:tcBorders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:rsidR="00ED2F6E" w:rsidRPr="00455779" w:rsidRDefault="00ED2F6E" w:rsidP="001049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  <w:t>TVFA</w:t>
            </w:r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vertAlign w:val="superscript"/>
                <w:lang w:eastAsia="en-CA"/>
              </w:rPr>
              <w:t>d</w:t>
            </w:r>
            <w:proofErr w:type="spellEnd"/>
            <w:r w:rsidRPr="00455779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en-CA"/>
              </w:rPr>
              <w:t xml:space="preserve"> (mg/L)</w:t>
            </w:r>
          </w:p>
        </w:tc>
        <w:tc>
          <w:tcPr>
            <w:tcW w:w="206" w:type="dxa"/>
            <w:tcBorders>
              <w:bottom w:val="single" w:sz="12" w:space="0" w:color="auto"/>
              <w:right w:val="nil"/>
            </w:tcBorders>
          </w:tcPr>
          <w:p w:rsidR="00ED2F6E" w:rsidRPr="00455779" w:rsidRDefault="00ED2F6E" w:rsidP="001049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4043" w:type="dxa"/>
            <w:tcBorders>
              <w:left w:val="nil"/>
              <w:bottom w:val="single" w:sz="12" w:space="0" w:color="auto"/>
            </w:tcBorders>
            <w:shd w:val="clear" w:color="auto" w:fill="auto"/>
            <w:noWrap/>
            <w:vAlign w:val="center"/>
          </w:tcPr>
          <w:p w:rsidR="00ED2F6E" w:rsidRPr="00455779" w:rsidRDefault="00ED2F6E" w:rsidP="001049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</w:pPr>
            <w:r w:rsidRPr="0045577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CA"/>
              </w:rPr>
              <w:t>90 (20)</w:t>
            </w:r>
          </w:p>
        </w:tc>
      </w:tr>
    </w:tbl>
    <w:p w:rsidR="00ED2F6E" w:rsidRDefault="00ED2F6E" w:rsidP="00C1640B">
      <w:pPr>
        <w:spacing w:before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55779">
        <w:rPr>
          <w:rFonts w:ascii="Times New Roman" w:hAnsi="Times New Roman" w:cs="Times New Roman"/>
          <w:sz w:val="20"/>
          <w:szCs w:val="20"/>
          <w:vertAlign w:val="superscript"/>
        </w:rPr>
        <w:t>a</w:t>
      </w:r>
      <w:r w:rsidRPr="00455779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455779">
        <w:rPr>
          <w:rFonts w:ascii="Times New Roman" w:hAnsi="Times New Roman" w:cs="Times New Roman"/>
          <w:sz w:val="20"/>
          <w:szCs w:val="20"/>
        </w:rPr>
        <w:t xml:space="preserve">: total solids, </w:t>
      </w:r>
      <w:r w:rsidRPr="007F1584">
        <w:rPr>
          <w:rFonts w:ascii="Times New Roman" w:hAnsi="Times New Roman" w:cs="Times New Roman"/>
          <w:noProof/>
          <w:sz w:val="20"/>
          <w:szCs w:val="20"/>
          <w:vertAlign w:val="superscript"/>
        </w:rPr>
        <w:t>b</w:t>
      </w:r>
      <w:r w:rsidRPr="007F1584">
        <w:rPr>
          <w:rFonts w:ascii="Times New Roman" w:hAnsi="Times New Roman" w:cs="Times New Roman"/>
          <w:noProof/>
          <w:sz w:val="20"/>
          <w:szCs w:val="20"/>
        </w:rPr>
        <w:t>VS</w:t>
      </w:r>
      <w:r w:rsidRPr="00455779">
        <w:rPr>
          <w:rFonts w:ascii="Times New Roman" w:hAnsi="Times New Roman" w:cs="Times New Roman"/>
          <w:sz w:val="20"/>
          <w:szCs w:val="20"/>
        </w:rPr>
        <w:t xml:space="preserve">: volatile solids, </w:t>
      </w:r>
      <w:proofErr w:type="spellStart"/>
      <w:r w:rsidRPr="00455779">
        <w:rPr>
          <w:rFonts w:ascii="Times New Roman" w:hAnsi="Times New Roman" w:cs="Times New Roman"/>
          <w:sz w:val="20"/>
          <w:szCs w:val="20"/>
          <w:vertAlign w:val="superscript"/>
        </w:rPr>
        <w:t>c</w:t>
      </w:r>
      <w:r>
        <w:rPr>
          <w:rFonts w:ascii="Times New Roman" w:hAnsi="Times New Roman" w:cs="Times New Roman"/>
          <w:sz w:val="20"/>
          <w:szCs w:val="20"/>
        </w:rPr>
        <w:t>COD</w:t>
      </w:r>
      <w:proofErr w:type="spellEnd"/>
      <w:r>
        <w:rPr>
          <w:rFonts w:ascii="Times New Roman" w:hAnsi="Times New Roman" w:cs="Times New Roman"/>
          <w:sz w:val="20"/>
          <w:szCs w:val="20"/>
        </w:rPr>
        <w:t>: c</w:t>
      </w:r>
      <w:r w:rsidRPr="00455779">
        <w:rPr>
          <w:rFonts w:ascii="Times New Roman" w:hAnsi="Times New Roman" w:cs="Times New Roman"/>
          <w:sz w:val="20"/>
          <w:szCs w:val="20"/>
        </w:rPr>
        <w:t xml:space="preserve">hemical oxygen demands, </w:t>
      </w:r>
      <w:proofErr w:type="spellStart"/>
      <w:r w:rsidRPr="00455779">
        <w:rPr>
          <w:rFonts w:ascii="Times New Roman" w:hAnsi="Times New Roman" w:cs="Times New Roman"/>
          <w:sz w:val="20"/>
          <w:szCs w:val="20"/>
          <w:vertAlign w:val="superscript"/>
        </w:rPr>
        <w:t>d</w:t>
      </w:r>
      <w:r w:rsidRPr="00455779">
        <w:rPr>
          <w:rFonts w:ascii="Times New Roman" w:hAnsi="Times New Roman" w:cs="Times New Roman"/>
          <w:sz w:val="20"/>
          <w:szCs w:val="20"/>
        </w:rPr>
        <w:t>TVFA</w:t>
      </w:r>
      <w:proofErr w:type="spellEnd"/>
      <w:r w:rsidRPr="00455779">
        <w:rPr>
          <w:rFonts w:ascii="Times New Roman" w:hAnsi="Times New Roman" w:cs="Times New Roman"/>
          <w:sz w:val="20"/>
          <w:szCs w:val="20"/>
        </w:rPr>
        <w:t>: total volatile fatty acids</w:t>
      </w:r>
      <w:r>
        <w:rPr>
          <w:rFonts w:ascii="Times New Roman" w:hAnsi="Times New Roman" w:cs="Times New Roman"/>
          <w:sz w:val="20"/>
          <w:szCs w:val="20"/>
        </w:rPr>
        <w:t xml:space="preserve"> as summation of acetic, propionic and butyric acids</w:t>
      </w:r>
      <w:r w:rsidR="00C1640B">
        <w:rPr>
          <w:rFonts w:ascii="Times New Roman" w:hAnsi="Times New Roman" w:cs="Times New Roman"/>
          <w:sz w:val="20"/>
          <w:szCs w:val="20"/>
        </w:rPr>
        <w:t>,</w:t>
      </w:r>
      <w:r w:rsidRPr="00455779">
        <w:rPr>
          <w:rFonts w:ascii="Times New Roman" w:hAnsi="Times New Roman" w:cs="Times New Roman"/>
          <w:sz w:val="20"/>
          <w:szCs w:val="20"/>
        </w:rPr>
        <w:t xml:space="preserve"> *</w:t>
      </w:r>
      <w:bookmarkStart w:id="0" w:name="_GoBack"/>
      <w:bookmarkEnd w:id="0"/>
      <w:r w:rsidRPr="00455779">
        <w:rPr>
          <w:rFonts w:ascii="Times New Roman" w:hAnsi="Times New Roman" w:cs="Times New Roman"/>
          <w:sz w:val="20"/>
          <w:szCs w:val="20"/>
        </w:rPr>
        <w:t>Data represent mean of two duplicate samples (absolute difference between duplicates).</w:t>
      </w:r>
    </w:p>
    <w:p w:rsidR="00ED2F6E" w:rsidRDefault="00ED2F6E" w:rsidP="00ED2F6E">
      <w:pPr>
        <w:spacing w:before="0" w:after="160" w:line="259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:rsidR="00ED2F6E" w:rsidRDefault="00011B50" w:rsidP="00ED2F6E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w:lastRenderedPageBreak/>
        <w:drawing>
          <wp:inline distT="0" distB="0" distL="0" distR="0" wp14:anchorId="17C727E9">
            <wp:extent cx="5060719" cy="309170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552" cy="3095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51EE0" w:rsidRPr="00ED2F6E" w:rsidRDefault="00ED2F6E" w:rsidP="00ED2F6E">
      <w:pPr>
        <w:pStyle w:val="Figuretitle"/>
        <w:rPr>
          <w:b w:val="0"/>
          <w:color w:val="222222"/>
          <w:lang w:val="en-US"/>
        </w:rPr>
      </w:pPr>
      <w:r>
        <w:t xml:space="preserve">Figure S1: </w:t>
      </w:r>
      <w:r w:rsidR="00CA3D53">
        <w:rPr>
          <w:lang w:val="en-US"/>
        </w:rPr>
        <w:t>Normalized capillary suction time (C</w:t>
      </w:r>
      <w:r>
        <w:rPr>
          <w:lang w:val="en-US"/>
        </w:rPr>
        <w:t>ST</w:t>
      </w:r>
      <w:r w:rsidR="00CA3D53">
        <w:rPr>
          <w:lang w:val="en-US"/>
        </w:rPr>
        <w:t>)</w:t>
      </w:r>
      <w:r>
        <w:rPr>
          <w:lang w:val="en-US"/>
        </w:rPr>
        <w:t xml:space="preserve"> values for single-stage and dual-stage digester effluents</w:t>
      </w:r>
    </w:p>
    <w:sectPr w:rsidR="00151EE0" w:rsidRPr="00ED2F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wMjAwtTA2NDWwsDRR0lEKTi0uzszPAykwrgUALLCEHSwAAAA="/>
  </w:docVars>
  <w:rsids>
    <w:rsidRoot w:val="00374623"/>
    <w:rsid w:val="00011B50"/>
    <w:rsid w:val="0012338A"/>
    <w:rsid w:val="00151EE0"/>
    <w:rsid w:val="00374623"/>
    <w:rsid w:val="005023EC"/>
    <w:rsid w:val="006261A5"/>
    <w:rsid w:val="00860F42"/>
    <w:rsid w:val="00A35A81"/>
    <w:rsid w:val="00C1640B"/>
    <w:rsid w:val="00CA3D53"/>
    <w:rsid w:val="00DC47DC"/>
    <w:rsid w:val="00ED2F6E"/>
    <w:rsid w:val="00F30A6A"/>
    <w:rsid w:val="00FD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0ABF"/>
  <w15:chartTrackingRefBased/>
  <w15:docId w15:val="{91CB06CD-7272-4FFB-AA25-7C2DBB8C1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F6E"/>
    <w:pPr>
      <w:spacing w:before="120" w:after="0" w:line="48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2F6E"/>
    <w:pPr>
      <w:keepNext/>
      <w:keepLines/>
      <w:spacing w:after="12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title">
    <w:name w:val="Figure title"/>
    <w:basedOn w:val="Normal"/>
    <w:link w:val="FiguretitleChar"/>
    <w:qFormat/>
    <w:rsid w:val="006261A5"/>
    <w:pPr>
      <w:spacing w:before="0" w:after="200" w:line="276" w:lineRule="auto"/>
      <w:jc w:val="center"/>
    </w:pPr>
    <w:rPr>
      <w:rFonts w:ascii="Times New Roman" w:hAnsi="Times New Roman"/>
      <w:b/>
      <w:color w:val="000000" w:themeColor="text1"/>
      <w:sz w:val="24"/>
      <w:szCs w:val="18"/>
    </w:rPr>
  </w:style>
  <w:style w:type="character" w:customStyle="1" w:styleId="FiguretitleChar">
    <w:name w:val="Figure title Char"/>
    <w:basedOn w:val="DefaultParagraphFont"/>
    <w:link w:val="Figuretitle"/>
    <w:rsid w:val="006261A5"/>
    <w:rPr>
      <w:rFonts w:ascii="Times New Roman" w:hAnsi="Times New Roman"/>
      <w:b/>
      <w:color w:val="000000" w:themeColor="text1"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D2F6E"/>
    <w:rPr>
      <w:rFonts w:ascii="Times New Roman" w:eastAsiaTheme="majorEastAsia" w:hAnsi="Times New Roman" w:cstheme="majorBidi"/>
      <w:b/>
      <w:sz w:val="24"/>
      <w:szCs w:val="32"/>
    </w:rPr>
  </w:style>
  <w:style w:type="paragraph" w:customStyle="1" w:styleId="Tablular">
    <w:name w:val="Tablular"/>
    <w:basedOn w:val="TableofFigures"/>
    <w:link w:val="TablularChar"/>
    <w:qFormat/>
    <w:rsid w:val="00ED2F6E"/>
    <w:pPr>
      <w:tabs>
        <w:tab w:val="right" w:leader="dot" w:pos="8976"/>
      </w:tabs>
      <w:spacing w:line="360" w:lineRule="auto"/>
      <w:jc w:val="center"/>
    </w:pPr>
    <w:rPr>
      <w:rFonts w:ascii="Times New Roman" w:hAnsi="Times New Roman"/>
      <w:b/>
      <w:noProof/>
      <w:sz w:val="24"/>
    </w:rPr>
  </w:style>
  <w:style w:type="character" w:customStyle="1" w:styleId="TablularChar">
    <w:name w:val="Tablular Char"/>
    <w:basedOn w:val="DefaultParagraphFont"/>
    <w:link w:val="Tablular"/>
    <w:rsid w:val="00ED2F6E"/>
    <w:rPr>
      <w:rFonts w:ascii="Times New Roman" w:hAnsi="Times New Roman"/>
      <w:b/>
      <w:noProof/>
      <w:sz w:val="24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D2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UBC Okanagan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munahmad</dc:creator>
  <cp:keywords/>
  <dc:description/>
  <cp:lastModifiedBy>munahmad</cp:lastModifiedBy>
  <cp:revision>8</cp:revision>
  <dcterms:created xsi:type="dcterms:W3CDTF">2019-03-14T06:04:00Z</dcterms:created>
  <dcterms:modified xsi:type="dcterms:W3CDTF">2019-05-16T07:56:00Z</dcterms:modified>
</cp:coreProperties>
</file>