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BF7" w:rsidRPr="003B0698" w:rsidRDefault="00700EE7" w:rsidP="00FF3BF7">
      <w:pPr>
        <w:suppressAutoHyphens w:val="0"/>
        <w:autoSpaceDE w:val="0"/>
        <w:autoSpaceDN w:val="0"/>
        <w:adjustRightInd w:val="0"/>
        <w:spacing w:line="480" w:lineRule="auto"/>
        <w:ind w:left="851" w:right="429"/>
        <w:jc w:val="both"/>
        <w:rPr>
          <w:rFonts w:ascii="Times New Roman" w:hAnsi="Times New Roman" w:cs="Times New Roman"/>
          <w:b/>
          <w:bCs/>
          <w:kern w:val="0"/>
          <w:szCs w:val="20"/>
          <w:lang w:val="en-US" w:eastAsia="en-US" w:bidi="ar-SA"/>
        </w:rPr>
      </w:pPr>
      <w:r w:rsidRPr="003B0698">
        <w:rPr>
          <w:rFonts w:ascii="Times New Roman" w:hAnsi="Times New Roman" w:cs="Times New Roman"/>
          <w:b/>
          <w:bCs/>
          <w:kern w:val="0"/>
          <w:szCs w:val="20"/>
          <w:lang w:val="en-GB" w:eastAsia="en-US" w:bidi="ar-SA"/>
        </w:rPr>
        <w:t>Enhancing anaerobic digestion of agricultural-residues by microaerobic conditions</w:t>
      </w:r>
    </w:p>
    <w:p w:rsidR="00FF3BF7" w:rsidRPr="003B0698" w:rsidRDefault="00FF3BF7" w:rsidP="00FF3BF7">
      <w:pPr>
        <w:suppressAutoHyphens w:val="0"/>
        <w:autoSpaceDE w:val="0"/>
        <w:autoSpaceDN w:val="0"/>
        <w:adjustRightInd w:val="0"/>
        <w:spacing w:line="480" w:lineRule="auto"/>
        <w:ind w:left="851" w:right="854"/>
        <w:jc w:val="both"/>
        <w:rPr>
          <w:rFonts w:ascii="Times New Roman" w:hAnsi="Times New Roman" w:cs="Times New Roman"/>
          <w:kern w:val="0"/>
          <w:szCs w:val="20"/>
          <w:lang w:val="en-GB" w:eastAsia="en-US" w:bidi="ar-SA"/>
        </w:rPr>
      </w:pPr>
    </w:p>
    <w:p w:rsidR="00700EE7" w:rsidRPr="003B0698" w:rsidRDefault="00700EE7" w:rsidP="00700EE7">
      <w:pPr>
        <w:suppressAutoHyphens w:val="0"/>
        <w:autoSpaceDE w:val="0"/>
        <w:autoSpaceDN w:val="0"/>
        <w:adjustRightInd w:val="0"/>
        <w:spacing w:line="480" w:lineRule="auto"/>
        <w:ind w:left="851" w:right="854"/>
        <w:jc w:val="both"/>
        <w:rPr>
          <w:rFonts w:ascii="Times New Roman" w:hAnsi="Times New Roman" w:cs="Times New Roman"/>
          <w:kern w:val="0"/>
          <w:szCs w:val="20"/>
          <w:lang w:val="en-GB" w:eastAsia="en-US" w:bidi="ar-SA"/>
        </w:rPr>
      </w:pPr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Panagiotis </w:t>
      </w:r>
      <w:proofErr w:type="gramStart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Tsapekos </w:t>
      </w:r>
      <w:r w:rsidRPr="003B0698">
        <w:rPr>
          <w:rFonts w:ascii="Times New Roman" w:hAnsi="Times New Roman" w:cs="Times New Roman"/>
          <w:b/>
          <w:kern w:val="0"/>
          <w:szCs w:val="20"/>
          <w:vertAlign w:val="superscript"/>
          <w:lang w:val="en-GB" w:eastAsia="en-US" w:bidi="ar-SA"/>
        </w:rPr>
        <w:t>.</w:t>
      </w:r>
      <w:proofErr w:type="gramEnd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 Merlin Alvarado-</w:t>
      </w:r>
      <w:proofErr w:type="gramStart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Morales </w:t>
      </w:r>
      <w:r w:rsidRPr="003B0698">
        <w:rPr>
          <w:rFonts w:ascii="Times New Roman" w:hAnsi="Times New Roman" w:cs="Times New Roman"/>
          <w:b/>
          <w:kern w:val="0"/>
          <w:szCs w:val="20"/>
          <w:vertAlign w:val="superscript"/>
          <w:lang w:val="en-GB" w:eastAsia="en-US" w:bidi="ar-SA"/>
        </w:rPr>
        <w:t>.</w:t>
      </w:r>
      <w:proofErr w:type="gramEnd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 Panagiotis G. </w:t>
      </w:r>
      <w:proofErr w:type="gramStart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Kougias </w:t>
      </w:r>
      <w:r w:rsidRPr="003B0698">
        <w:rPr>
          <w:rFonts w:ascii="Times New Roman" w:hAnsi="Times New Roman" w:cs="Times New Roman"/>
          <w:b/>
          <w:kern w:val="0"/>
          <w:szCs w:val="20"/>
          <w:vertAlign w:val="superscript"/>
          <w:lang w:val="en-GB" w:eastAsia="en-US" w:bidi="ar-SA"/>
        </w:rPr>
        <w:t>.</w:t>
      </w:r>
      <w:proofErr w:type="gramEnd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 Laura </w:t>
      </w:r>
      <w:proofErr w:type="gramStart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Treu </w:t>
      </w:r>
      <w:r w:rsidRPr="003B0698">
        <w:rPr>
          <w:rFonts w:ascii="Times New Roman" w:hAnsi="Times New Roman" w:cs="Times New Roman"/>
          <w:b/>
          <w:kern w:val="0"/>
          <w:szCs w:val="20"/>
          <w:vertAlign w:val="superscript"/>
          <w:lang w:val="en-GB" w:eastAsia="en-US" w:bidi="ar-SA"/>
        </w:rPr>
        <w:t>.</w:t>
      </w:r>
      <w:proofErr w:type="gramEnd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 Irini Angelidaki*</w:t>
      </w:r>
    </w:p>
    <w:p w:rsidR="00700EE7" w:rsidRPr="003B0698" w:rsidRDefault="00700EE7" w:rsidP="00700EE7">
      <w:pPr>
        <w:suppressAutoHyphens w:val="0"/>
        <w:autoSpaceDE w:val="0"/>
        <w:autoSpaceDN w:val="0"/>
        <w:adjustRightInd w:val="0"/>
        <w:spacing w:line="480" w:lineRule="auto"/>
        <w:ind w:left="851" w:right="854"/>
        <w:jc w:val="both"/>
        <w:rPr>
          <w:rFonts w:ascii="Times New Roman" w:hAnsi="Times New Roman" w:cs="Times New Roman"/>
          <w:kern w:val="0"/>
          <w:szCs w:val="20"/>
          <w:lang w:val="en-GB" w:eastAsia="en-US" w:bidi="ar-SA"/>
        </w:rPr>
      </w:pPr>
    </w:p>
    <w:p w:rsidR="00700EE7" w:rsidRPr="003B0698" w:rsidRDefault="00700EE7" w:rsidP="00700EE7">
      <w:pPr>
        <w:suppressAutoHyphens w:val="0"/>
        <w:autoSpaceDE w:val="0"/>
        <w:autoSpaceDN w:val="0"/>
        <w:adjustRightInd w:val="0"/>
        <w:spacing w:line="480" w:lineRule="auto"/>
        <w:ind w:left="851" w:right="854"/>
        <w:jc w:val="both"/>
        <w:rPr>
          <w:rFonts w:ascii="Times New Roman" w:hAnsi="Times New Roman" w:cs="Times New Roman"/>
          <w:kern w:val="0"/>
          <w:szCs w:val="20"/>
          <w:lang w:val="en-GB" w:eastAsia="en-US" w:bidi="ar-SA"/>
        </w:rPr>
      </w:pPr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Department of Environmental Engineering, Technical University of Denmark, Kgs. </w:t>
      </w:r>
      <w:proofErr w:type="spellStart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>Lyngby</w:t>
      </w:r>
      <w:proofErr w:type="spellEnd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>, DK-2800, Denmark</w:t>
      </w:r>
    </w:p>
    <w:p w:rsidR="00700EE7" w:rsidRPr="003B0698" w:rsidRDefault="00700EE7" w:rsidP="00700EE7">
      <w:pPr>
        <w:suppressAutoHyphens w:val="0"/>
        <w:autoSpaceDE w:val="0"/>
        <w:autoSpaceDN w:val="0"/>
        <w:adjustRightInd w:val="0"/>
        <w:spacing w:line="480" w:lineRule="auto"/>
        <w:ind w:left="851" w:right="854"/>
        <w:jc w:val="both"/>
        <w:rPr>
          <w:rFonts w:ascii="Times New Roman" w:hAnsi="Times New Roman" w:cs="Times New Roman"/>
          <w:kern w:val="0"/>
          <w:szCs w:val="20"/>
          <w:lang w:val="en-GB" w:eastAsia="en-US" w:bidi="ar-SA"/>
        </w:rPr>
      </w:pPr>
    </w:p>
    <w:p w:rsidR="00700EE7" w:rsidRPr="003B0698" w:rsidRDefault="00700EE7" w:rsidP="00700EE7">
      <w:pPr>
        <w:suppressAutoHyphens w:val="0"/>
        <w:autoSpaceDE w:val="0"/>
        <w:autoSpaceDN w:val="0"/>
        <w:adjustRightInd w:val="0"/>
        <w:spacing w:line="480" w:lineRule="auto"/>
        <w:ind w:left="851" w:right="854"/>
        <w:jc w:val="both"/>
        <w:rPr>
          <w:rFonts w:ascii="Times New Roman" w:hAnsi="Times New Roman" w:cs="Times New Roman"/>
          <w:kern w:val="0"/>
          <w:szCs w:val="20"/>
          <w:lang w:val="en-GB" w:eastAsia="en-US" w:bidi="ar-SA"/>
        </w:rPr>
      </w:pPr>
    </w:p>
    <w:p w:rsidR="00700EE7" w:rsidRPr="003B0698" w:rsidRDefault="00700EE7" w:rsidP="00700EE7">
      <w:pPr>
        <w:suppressAutoHyphens w:val="0"/>
        <w:autoSpaceDE w:val="0"/>
        <w:autoSpaceDN w:val="0"/>
        <w:adjustRightInd w:val="0"/>
        <w:spacing w:line="480" w:lineRule="auto"/>
        <w:ind w:left="851" w:right="854"/>
        <w:jc w:val="both"/>
        <w:rPr>
          <w:rFonts w:ascii="Times New Roman" w:hAnsi="Times New Roman" w:cs="Times New Roman"/>
          <w:kern w:val="0"/>
          <w:szCs w:val="20"/>
          <w:lang w:val="en-GB" w:eastAsia="en-US" w:bidi="ar-SA"/>
        </w:rPr>
      </w:pPr>
      <w:r w:rsidRPr="003B0698">
        <w:rPr>
          <w:rFonts w:ascii="Times New Roman" w:hAnsi="Times New Roman" w:cs="Times New Roman"/>
          <w:kern w:val="0"/>
          <w:szCs w:val="20"/>
          <w:vertAlign w:val="superscript"/>
          <w:lang w:val="en-GB" w:eastAsia="en-US" w:bidi="ar-SA"/>
        </w:rPr>
        <w:t>*</w:t>
      </w:r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Corresponding author: Irini Angelidaki, Department of Environmental Engineering, Technical University of Denmark, </w:t>
      </w:r>
      <w:proofErr w:type="spellStart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>Bld</w:t>
      </w:r>
      <w:proofErr w:type="spellEnd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 xml:space="preserve"> 115, 2800 </w:t>
      </w:r>
      <w:proofErr w:type="spellStart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>Lyngby</w:t>
      </w:r>
      <w:proofErr w:type="spellEnd"/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>, Denmark.</w:t>
      </w:r>
    </w:p>
    <w:p w:rsidR="00700EE7" w:rsidRPr="003B0698" w:rsidRDefault="00700EE7" w:rsidP="00700EE7">
      <w:pPr>
        <w:suppressAutoHyphens w:val="0"/>
        <w:autoSpaceDE w:val="0"/>
        <w:autoSpaceDN w:val="0"/>
        <w:adjustRightInd w:val="0"/>
        <w:spacing w:line="480" w:lineRule="auto"/>
        <w:ind w:left="851" w:right="854"/>
        <w:jc w:val="both"/>
        <w:rPr>
          <w:rFonts w:ascii="Times New Roman" w:hAnsi="Times New Roman" w:cs="Times New Roman"/>
          <w:szCs w:val="20"/>
          <w:lang w:val="en-GB"/>
        </w:rPr>
      </w:pPr>
      <w:r w:rsidRPr="003B0698">
        <w:rPr>
          <w:rFonts w:ascii="Times New Roman" w:hAnsi="Times New Roman" w:cs="Times New Roman"/>
          <w:kern w:val="0"/>
          <w:szCs w:val="20"/>
          <w:lang w:val="en-GB" w:eastAsia="en-US" w:bidi="ar-SA"/>
        </w:rPr>
        <w:t>E-mail address: iria@env.dtu.dk, Tel.: +45 45251429</w:t>
      </w:r>
    </w:p>
    <w:p w:rsidR="00F06D48" w:rsidRPr="003B0698" w:rsidRDefault="00F06D48" w:rsidP="00FF3BF7">
      <w:pPr>
        <w:pStyle w:val="FACorrespondingAuthorFootnote"/>
        <w:spacing w:after="0"/>
        <w:rPr>
          <w:rFonts w:ascii="Times New Roman" w:hAnsi="Times New Roman" w:cs="Times New Roman"/>
          <w:sz w:val="20"/>
          <w:szCs w:val="20"/>
          <w:lang w:val="en-GB"/>
        </w:rPr>
      </w:pPr>
    </w:p>
    <w:p w:rsidR="00F06D48" w:rsidRPr="003B0698" w:rsidRDefault="00F06D48" w:rsidP="00F06D48">
      <w:pPr>
        <w:widowControl/>
        <w:suppressAutoHyphens w:val="0"/>
        <w:spacing w:after="200" w:line="480" w:lineRule="auto"/>
        <w:rPr>
          <w:rFonts w:ascii="Times New Roman" w:hAnsi="Times New Roman" w:cs="Times New Roman"/>
          <w:szCs w:val="20"/>
          <w:lang w:val="en-GB"/>
        </w:rPr>
      </w:pPr>
      <w:r w:rsidRPr="003B0698">
        <w:rPr>
          <w:rFonts w:ascii="Times New Roman" w:hAnsi="Times New Roman" w:cs="Times New Roman"/>
          <w:szCs w:val="20"/>
          <w:lang w:val="en-GB"/>
        </w:rPr>
        <w:br w:type="page"/>
      </w:r>
    </w:p>
    <w:p w:rsidR="004A2280" w:rsidRPr="003B0698" w:rsidRDefault="00F06D48" w:rsidP="00BB5AA0">
      <w:pPr>
        <w:pStyle w:val="FACorrespondingAuthorFootnote"/>
        <w:spacing w:after="0" w:line="36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3B0698">
        <w:rPr>
          <w:rFonts w:ascii="Times New Roman" w:hAnsi="Times New Roman" w:cs="Times New Roman"/>
          <w:b/>
          <w:sz w:val="20"/>
          <w:szCs w:val="20"/>
          <w:lang w:val="en-GB"/>
        </w:rPr>
        <w:lastRenderedPageBreak/>
        <w:t xml:space="preserve">Table S1. </w:t>
      </w:r>
      <w:r w:rsidRPr="003B0698">
        <w:rPr>
          <w:rFonts w:ascii="Times New Roman" w:hAnsi="Times New Roman" w:cs="Times New Roman"/>
          <w:sz w:val="20"/>
          <w:szCs w:val="20"/>
          <w:lang w:val="en-GB"/>
        </w:rPr>
        <w:t xml:space="preserve">Statistics of the sequencing process and data analysis of the 16S </w:t>
      </w:r>
      <w:proofErr w:type="spellStart"/>
      <w:r w:rsidRPr="003B0698">
        <w:rPr>
          <w:rFonts w:ascii="Times New Roman" w:hAnsi="Times New Roman" w:cs="Times New Roman"/>
          <w:sz w:val="20"/>
          <w:szCs w:val="20"/>
          <w:lang w:val="en-GB"/>
        </w:rPr>
        <w:t>rRNA</w:t>
      </w:r>
      <w:proofErr w:type="spellEnd"/>
      <w:r w:rsidRPr="003B0698">
        <w:rPr>
          <w:rFonts w:ascii="Times New Roman" w:hAnsi="Times New Roman" w:cs="Times New Roman"/>
          <w:sz w:val="20"/>
          <w:szCs w:val="20"/>
          <w:lang w:val="en-GB"/>
        </w:rPr>
        <w:t xml:space="preserve"> samples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5"/>
        <w:gridCol w:w="945"/>
        <w:gridCol w:w="1064"/>
        <w:gridCol w:w="753"/>
        <w:gridCol w:w="1540"/>
        <w:gridCol w:w="1123"/>
        <w:gridCol w:w="1308"/>
      </w:tblGrid>
      <w:tr w:rsidR="003B0698" w:rsidRPr="003B0698" w:rsidTr="003B0698">
        <w:trPr>
          <w:jc w:val="center"/>
        </w:trPr>
        <w:tc>
          <w:tcPr>
            <w:tcW w:w="1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F7" w:rsidRPr="003B0698" w:rsidRDefault="00FF3BF7" w:rsidP="00BB5AA0">
            <w:pPr>
              <w:widowControl/>
              <w:suppressAutoHyphens w:val="0"/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  <w:t>Sample</w:t>
            </w: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BF7" w:rsidRPr="003B0698" w:rsidRDefault="003B0698" w:rsidP="00BB5AA0">
            <w:pPr>
              <w:widowControl/>
              <w:suppressAutoHyphens w:val="0"/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  <w:t xml:space="preserve">Denoted </w:t>
            </w:r>
          </w:p>
        </w:tc>
        <w:tc>
          <w:tcPr>
            <w:tcW w:w="5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BF7" w:rsidRPr="003B0698" w:rsidRDefault="00FF3BF7" w:rsidP="00BB5AA0">
            <w:pPr>
              <w:widowControl/>
              <w:suppressAutoHyphens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  <w:t>Raw reads</w:t>
            </w:r>
          </w:p>
        </w:tc>
        <w:tc>
          <w:tcPr>
            <w:tcW w:w="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BF7" w:rsidRPr="003B0698" w:rsidRDefault="00FF3BF7" w:rsidP="00BB5AA0">
            <w:pPr>
              <w:widowControl/>
              <w:suppressAutoHyphens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  <w:t>Length</w:t>
            </w:r>
          </w:p>
        </w:tc>
        <w:tc>
          <w:tcPr>
            <w:tcW w:w="7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BF7" w:rsidRPr="003B0698" w:rsidRDefault="00FF3BF7" w:rsidP="00BB5AA0">
            <w:pPr>
              <w:widowControl/>
              <w:suppressAutoHyphens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  <w:t>Merged/Filtered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BF7" w:rsidRPr="003B0698" w:rsidRDefault="00FF3BF7" w:rsidP="00BB5AA0">
            <w:pPr>
              <w:widowControl/>
              <w:suppressAutoHyphens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  <w:t>Assigned</w:t>
            </w:r>
          </w:p>
        </w:tc>
        <w:tc>
          <w:tcPr>
            <w:tcW w:w="6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BF7" w:rsidRPr="003B0698" w:rsidRDefault="00FF3BF7" w:rsidP="00BB5AA0">
            <w:pPr>
              <w:widowControl/>
              <w:suppressAutoHyphens w:val="0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0"/>
                <w:lang w:val="en-GB" w:eastAsia="zh-CN" w:bidi="ar-SA"/>
              </w:rPr>
              <w:t>% assigned</w:t>
            </w:r>
          </w:p>
        </w:tc>
      </w:tr>
      <w:tr w:rsidR="003B0698" w:rsidRPr="003B0698" w:rsidTr="003B0698">
        <w:trPr>
          <w:trHeight w:val="288"/>
          <w:jc w:val="center"/>
        </w:trPr>
        <w:tc>
          <w:tcPr>
            <w:tcW w:w="15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00EE7" w:rsidRPr="003B0698" w:rsidRDefault="003B0698" w:rsidP="00700EE7">
            <w:pPr>
              <w:spacing w:line="276" w:lineRule="auto"/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</w:pPr>
            <w:r w:rsidRPr="003B0698"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  <w:t xml:space="preserve">Anaerobic conditions </w:t>
            </w:r>
            <w:r w:rsidR="00700EE7" w:rsidRPr="003B0698"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  <w:t>final stage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0EE7" w:rsidRPr="003B0698" w:rsidRDefault="00376BD1" w:rsidP="00700EE7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PI-AD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0EE7" w:rsidRPr="003B0698" w:rsidRDefault="00700EE7" w:rsidP="00700EE7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673.232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0EE7" w:rsidRPr="003B0698" w:rsidRDefault="00700EE7" w:rsidP="00700EE7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250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0EE7" w:rsidRPr="003B0698" w:rsidRDefault="00700EE7" w:rsidP="00700EE7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313.904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0EE7" w:rsidRPr="003B0698" w:rsidRDefault="00700EE7" w:rsidP="00700EE7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218110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0EE7" w:rsidRPr="003B0698" w:rsidRDefault="00700EE7" w:rsidP="00700EE7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69%</w:t>
            </w:r>
          </w:p>
        </w:tc>
      </w:tr>
      <w:tr w:rsidR="003B0698" w:rsidRPr="003B0698" w:rsidTr="003B0698">
        <w:trPr>
          <w:trHeight w:val="288"/>
          <w:jc w:val="center"/>
        </w:trPr>
        <w:tc>
          <w:tcPr>
            <w:tcW w:w="15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76BD1" w:rsidRPr="003B0698" w:rsidRDefault="003B0698" w:rsidP="003B0698">
            <w:pPr>
              <w:spacing w:line="276" w:lineRule="auto"/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</w:pPr>
            <w:r w:rsidRPr="003B0698"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  <w:t>Micro-aerobic conditions final stage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76BD1" w:rsidRPr="003B0698" w:rsidRDefault="00376BD1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PII-MA</w:t>
            </w:r>
          </w:p>
        </w:tc>
        <w:tc>
          <w:tcPr>
            <w:tcW w:w="5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76BD1" w:rsidRPr="003B0698" w:rsidRDefault="00376BD1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690.978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76BD1" w:rsidRPr="003B0698" w:rsidRDefault="00376BD1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250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76BD1" w:rsidRPr="003B0698" w:rsidRDefault="00376BD1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321.362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76BD1" w:rsidRPr="003B0698" w:rsidRDefault="00376BD1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241949</w:t>
            </w:r>
          </w:p>
        </w:tc>
        <w:tc>
          <w:tcPr>
            <w:tcW w:w="6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76BD1" w:rsidRPr="003B0698" w:rsidRDefault="00376BD1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75%</w:t>
            </w:r>
          </w:p>
        </w:tc>
      </w:tr>
    </w:tbl>
    <w:p w:rsidR="00F06D48" w:rsidRPr="003B0698" w:rsidRDefault="00F06D48" w:rsidP="00F06D48">
      <w:pPr>
        <w:pStyle w:val="FACorrespondingAuthorFootnote"/>
        <w:spacing w:after="0"/>
        <w:rPr>
          <w:rFonts w:ascii="Times New Roman" w:hAnsi="Times New Roman" w:cs="Times New Roman"/>
          <w:sz w:val="20"/>
          <w:szCs w:val="20"/>
          <w:lang w:val="en-GB"/>
        </w:rPr>
      </w:pPr>
    </w:p>
    <w:p w:rsidR="00FF3BF7" w:rsidRPr="003B0698" w:rsidRDefault="001929EA" w:rsidP="00BB5AA0">
      <w:pPr>
        <w:pStyle w:val="FACorrespondingAuthorFootnote"/>
        <w:spacing w:after="0" w:line="36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3B0698">
        <w:rPr>
          <w:rFonts w:ascii="Times New Roman" w:hAnsi="Times New Roman" w:cs="Times New Roman"/>
          <w:b/>
          <w:sz w:val="20"/>
          <w:szCs w:val="20"/>
          <w:lang w:val="en-GB"/>
        </w:rPr>
        <w:t xml:space="preserve">Table S2. </w:t>
      </w:r>
      <w:r w:rsidRPr="003B0698">
        <w:rPr>
          <w:rFonts w:ascii="Times New Roman" w:hAnsi="Times New Roman" w:cs="Times New Roman"/>
          <w:sz w:val="20"/>
          <w:szCs w:val="20"/>
          <w:lang w:val="en-GB"/>
        </w:rPr>
        <w:t xml:space="preserve">Samples characterization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7"/>
        <w:gridCol w:w="7101"/>
        <w:gridCol w:w="1776"/>
      </w:tblGrid>
      <w:tr w:rsidR="00961B08" w:rsidRPr="003B0698" w:rsidTr="00187725">
        <w:tc>
          <w:tcPr>
            <w:tcW w:w="496" w:type="pct"/>
          </w:tcPr>
          <w:p w:rsidR="00961B08" w:rsidRPr="003B0698" w:rsidRDefault="001929EA" w:rsidP="00BB5AA0">
            <w:pPr>
              <w:spacing w:line="276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3B0698">
              <w:rPr>
                <w:rFonts w:ascii="Times New Roman" w:hAnsi="Times New Roman" w:cs="Times New Roman"/>
                <w:b/>
                <w:color w:val="000000"/>
                <w:szCs w:val="20"/>
              </w:rPr>
              <w:t>Sample</w:t>
            </w:r>
          </w:p>
        </w:tc>
        <w:tc>
          <w:tcPr>
            <w:tcW w:w="3603" w:type="pct"/>
          </w:tcPr>
          <w:p w:rsidR="00961B08" w:rsidRPr="003B0698" w:rsidRDefault="00961B08" w:rsidP="00BB5AA0">
            <w:pPr>
              <w:spacing w:line="276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proofErr w:type="spellStart"/>
            <w:r w:rsidRPr="003B0698">
              <w:rPr>
                <w:rFonts w:ascii="Times New Roman" w:hAnsi="Times New Roman" w:cs="Times New Roman"/>
                <w:b/>
                <w:color w:val="000000"/>
                <w:szCs w:val="20"/>
              </w:rPr>
              <w:t>Description</w:t>
            </w:r>
            <w:proofErr w:type="spellEnd"/>
          </w:p>
        </w:tc>
        <w:tc>
          <w:tcPr>
            <w:tcW w:w="901" w:type="pct"/>
          </w:tcPr>
          <w:p w:rsidR="00961B08" w:rsidRPr="003B0698" w:rsidRDefault="00961B08" w:rsidP="00BB5AA0">
            <w:pPr>
              <w:spacing w:line="276" w:lineRule="auto"/>
              <w:rPr>
                <w:rFonts w:ascii="Times New Roman" w:hAnsi="Times New Roman" w:cs="Times New Roman"/>
                <w:b/>
                <w:color w:val="000000"/>
                <w:szCs w:val="20"/>
              </w:rPr>
            </w:pPr>
            <w:r w:rsidRPr="003B0698">
              <w:rPr>
                <w:rFonts w:ascii="Times New Roman" w:hAnsi="Times New Roman" w:cs="Times New Roman"/>
                <w:b/>
                <w:color w:val="000000"/>
                <w:szCs w:val="20"/>
              </w:rPr>
              <w:t>SRA</w:t>
            </w:r>
          </w:p>
        </w:tc>
      </w:tr>
      <w:tr w:rsidR="00376BD1" w:rsidRPr="003B0698" w:rsidTr="00187725">
        <w:tc>
          <w:tcPr>
            <w:tcW w:w="496" w:type="pct"/>
          </w:tcPr>
          <w:p w:rsidR="00376BD1" w:rsidRPr="003B0698" w:rsidRDefault="00376BD1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PI-AD</w:t>
            </w:r>
          </w:p>
        </w:tc>
        <w:tc>
          <w:tcPr>
            <w:tcW w:w="3603" w:type="pct"/>
          </w:tcPr>
          <w:p w:rsidR="00376BD1" w:rsidRPr="003B0698" w:rsidRDefault="003B0698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</w:pPr>
            <w:r w:rsidRPr="003B0698"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  <w:t>Steady-state of strictly anaerobic conditions</w:t>
            </w:r>
          </w:p>
        </w:tc>
        <w:tc>
          <w:tcPr>
            <w:tcW w:w="901" w:type="pct"/>
          </w:tcPr>
          <w:p w:rsidR="00376BD1" w:rsidRPr="003B0698" w:rsidRDefault="00376BD1" w:rsidP="00815081">
            <w:pPr>
              <w:spacing w:line="276" w:lineRule="auto"/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</w:pPr>
            <w:r w:rsidRPr="003B0698"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  <w:t>SRX2369824</w:t>
            </w:r>
          </w:p>
        </w:tc>
      </w:tr>
      <w:tr w:rsidR="00376BD1" w:rsidRPr="003B0698" w:rsidTr="00187725">
        <w:tc>
          <w:tcPr>
            <w:tcW w:w="496" w:type="pct"/>
          </w:tcPr>
          <w:p w:rsidR="00376BD1" w:rsidRPr="003B0698" w:rsidRDefault="00376BD1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</w:pPr>
            <w:r w:rsidRPr="003B0698">
              <w:rPr>
                <w:rFonts w:ascii="Times New Roman" w:hAnsi="Times New Roman" w:cs="Times New Roman"/>
                <w:color w:val="000000"/>
                <w:kern w:val="0"/>
                <w:szCs w:val="20"/>
                <w:lang w:val="en-GB" w:eastAsia="zh-CN" w:bidi="ar-SA"/>
              </w:rPr>
              <w:t>PII-MA</w:t>
            </w:r>
          </w:p>
        </w:tc>
        <w:tc>
          <w:tcPr>
            <w:tcW w:w="3603" w:type="pct"/>
          </w:tcPr>
          <w:p w:rsidR="00376BD1" w:rsidRPr="003B0698" w:rsidRDefault="003B0698" w:rsidP="00376BD1">
            <w:pPr>
              <w:spacing w:line="276" w:lineRule="auto"/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</w:pPr>
            <w:r w:rsidRPr="003B0698"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  <w:t>Steady-state of micro-aerobic period</w:t>
            </w:r>
          </w:p>
        </w:tc>
        <w:tc>
          <w:tcPr>
            <w:tcW w:w="901" w:type="pct"/>
          </w:tcPr>
          <w:p w:rsidR="00376BD1" w:rsidRPr="003B0698" w:rsidRDefault="00376BD1" w:rsidP="00815081">
            <w:pPr>
              <w:spacing w:line="276" w:lineRule="auto"/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</w:pPr>
            <w:r w:rsidRPr="003B0698">
              <w:rPr>
                <w:rFonts w:ascii="Times New Roman" w:hAnsi="Times New Roman" w:cs="Times New Roman"/>
                <w:color w:val="000000"/>
                <w:szCs w:val="20"/>
                <w:lang w:val="en-US"/>
              </w:rPr>
              <w:t>SRX2369825</w:t>
            </w:r>
          </w:p>
        </w:tc>
      </w:tr>
    </w:tbl>
    <w:p w:rsidR="00C01CD4" w:rsidRPr="003B0698" w:rsidRDefault="00C01CD4" w:rsidP="00F06D48">
      <w:pPr>
        <w:pStyle w:val="FACorrespondingAuthorFootnote"/>
        <w:spacing w:after="0"/>
        <w:rPr>
          <w:rFonts w:ascii="Times New Roman" w:hAnsi="Times New Roman" w:cs="Times New Roman"/>
          <w:sz w:val="20"/>
          <w:szCs w:val="20"/>
          <w:lang w:val="en-GB"/>
        </w:rPr>
      </w:pPr>
    </w:p>
    <w:p w:rsidR="001929EA" w:rsidRPr="003B0698" w:rsidRDefault="00376BD1" w:rsidP="00C01CD4">
      <w:pPr>
        <w:pStyle w:val="FACorrespondingAuthorFootnote"/>
        <w:spacing w:after="0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3B0698">
        <w:rPr>
          <w:noProof/>
          <w:sz w:val="20"/>
          <w:szCs w:val="20"/>
          <w:lang w:val="da-DK" w:bidi="ar-SA"/>
        </w:rPr>
        <w:drawing>
          <wp:inline distT="0" distB="0" distL="0" distR="0" wp14:anchorId="0C6AA2C2" wp14:editId="0C642CC4">
            <wp:extent cx="6210795" cy="3431969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p w:rsidR="00C01CD4" w:rsidRPr="003B0698" w:rsidRDefault="00C01CD4" w:rsidP="00C01CD4">
      <w:pPr>
        <w:pStyle w:val="FACorrespondingAuthorFootnote"/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3B0698">
        <w:rPr>
          <w:rFonts w:ascii="Times New Roman" w:hAnsi="Times New Roman" w:cs="Times New Roman"/>
          <w:b/>
          <w:sz w:val="20"/>
          <w:szCs w:val="20"/>
          <w:lang w:val="en-GB"/>
        </w:rPr>
        <w:t xml:space="preserve">Fig. S1. </w:t>
      </w:r>
      <w:r w:rsidRPr="003B0698">
        <w:rPr>
          <w:rFonts w:ascii="Times New Roman" w:hAnsi="Times New Roman" w:cs="Times New Roman"/>
          <w:sz w:val="20"/>
          <w:szCs w:val="20"/>
          <w:lang w:val="en-GB"/>
        </w:rPr>
        <w:t>Alpha diversity of samples based on number of OTUs.</w:t>
      </w:r>
      <w:r w:rsidR="00BB5AA0" w:rsidRPr="003B0698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</w:p>
    <w:p w:rsidR="00F06D48" w:rsidRDefault="00376BD1" w:rsidP="00F06D48">
      <w:pPr>
        <w:pStyle w:val="FACorrespondingAuthorFootnote"/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3B0698">
        <w:rPr>
          <w:noProof/>
          <w:sz w:val="20"/>
          <w:szCs w:val="20"/>
          <w:lang w:val="da-DK" w:bidi="ar-SA"/>
        </w:rPr>
        <w:lastRenderedPageBreak/>
        <w:drawing>
          <wp:inline distT="0" distB="0" distL="0" distR="0" wp14:anchorId="5C73DF65" wp14:editId="57BE6A6F">
            <wp:extent cx="6080166" cy="4013859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3B5254" w:rsidRPr="003B5254" w:rsidRDefault="003B5254" w:rsidP="003B5254">
      <w:pPr>
        <w:pStyle w:val="FACorrespondingAuthorFootnote"/>
        <w:spacing w:after="0"/>
        <w:rPr>
          <w:rFonts w:ascii="Times New Roman" w:hAnsi="Times New Roman" w:cs="Times New Roman"/>
          <w:sz w:val="20"/>
          <w:szCs w:val="20"/>
          <w:lang w:val="en-GB"/>
        </w:rPr>
      </w:pPr>
      <w:r w:rsidRPr="003B5254">
        <w:rPr>
          <w:rFonts w:ascii="Times New Roman" w:hAnsi="Times New Roman" w:cs="Times New Roman"/>
          <w:b/>
          <w:sz w:val="20"/>
          <w:szCs w:val="20"/>
          <w:lang w:val="en-GB"/>
        </w:rPr>
        <w:t xml:space="preserve">Fig. S2. </w:t>
      </w:r>
      <w:proofErr w:type="spellStart"/>
      <w:r>
        <w:rPr>
          <w:rFonts w:ascii="Times New Roman" w:hAnsi="Times New Roman" w:cs="Times New Roman"/>
          <w:sz w:val="20"/>
          <w:szCs w:val="20"/>
          <w:lang w:val="en-GB"/>
        </w:rPr>
        <w:t>PCoA</w:t>
      </w:r>
      <w:proofErr w:type="spellEnd"/>
      <w:r>
        <w:rPr>
          <w:rFonts w:ascii="Times New Roman" w:hAnsi="Times New Roman" w:cs="Times New Roman"/>
          <w:sz w:val="20"/>
          <w:szCs w:val="20"/>
          <w:lang w:val="en-GB"/>
        </w:rPr>
        <w:t xml:space="preserve"> analysis describing</w:t>
      </w:r>
      <w:r w:rsidRPr="003B5254">
        <w:rPr>
          <w:rFonts w:ascii="Times New Roman" w:hAnsi="Times New Roman" w:cs="Times New Roman"/>
          <w:sz w:val="20"/>
          <w:szCs w:val="20"/>
          <w:lang w:val="en-GB"/>
        </w:rPr>
        <w:t xml:space="preserve"> microbial composition and variability. </w:t>
      </w:r>
    </w:p>
    <w:sectPr w:rsidR="003B5254" w:rsidRPr="003B5254" w:rsidSect="004A228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sDQ1MDUxtrAwMzQ2NrJQ0lEKTi0uzszPAykwrgUARko6tywAAAA="/>
  </w:docVars>
  <w:rsids>
    <w:rsidRoot w:val="00397D11"/>
    <w:rsid w:val="000B03B3"/>
    <w:rsid w:val="001019F5"/>
    <w:rsid w:val="00187725"/>
    <w:rsid w:val="001929EA"/>
    <w:rsid w:val="001E2891"/>
    <w:rsid w:val="00200427"/>
    <w:rsid w:val="00223627"/>
    <w:rsid w:val="003530B2"/>
    <w:rsid w:val="00376BD1"/>
    <w:rsid w:val="00384A00"/>
    <w:rsid w:val="00397D11"/>
    <w:rsid w:val="003B0698"/>
    <w:rsid w:val="003B5254"/>
    <w:rsid w:val="003E2408"/>
    <w:rsid w:val="00424462"/>
    <w:rsid w:val="00455344"/>
    <w:rsid w:val="004A2280"/>
    <w:rsid w:val="00563CFF"/>
    <w:rsid w:val="005C4603"/>
    <w:rsid w:val="005C5230"/>
    <w:rsid w:val="0060096A"/>
    <w:rsid w:val="00654C2C"/>
    <w:rsid w:val="00666CF4"/>
    <w:rsid w:val="006832E9"/>
    <w:rsid w:val="00684A29"/>
    <w:rsid w:val="00686715"/>
    <w:rsid w:val="006C7441"/>
    <w:rsid w:val="006D297D"/>
    <w:rsid w:val="00700EE7"/>
    <w:rsid w:val="007136C3"/>
    <w:rsid w:val="00732673"/>
    <w:rsid w:val="00747664"/>
    <w:rsid w:val="00777047"/>
    <w:rsid w:val="00815081"/>
    <w:rsid w:val="00845AC1"/>
    <w:rsid w:val="009200DE"/>
    <w:rsid w:val="00956C8E"/>
    <w:rsid w:val="00961B08"/>
    <w:rsid w:val="00973B3F"/>
    <w:rsid w:val="009B6D2D"/>
    <w:rsid w:val="009D213A"/>
    <w:rsid w:val="009F6BA4"/>
    <w:rsid w:val="00A12215"/>
    <w:rsid w:val="00A47C00"/>
    <w:rsid w:val="00AD7E1A"/>
    <w:rsid w:val="00AF5CB5"/>
    <w:rsid w:val="00B07F05"/>
    <w:rsid w:val="00B15821"/>
    <w:rsid w:val="00B6680E"/>
    <w:rsid w:val="00BB5AA0"/>
    <w:rsid w:val="00BF37C9"/>
    <w:rsid w:val="00C01CD4"/>
    <w:rsid w:val="00C353F2"/>
    <w:rsid w:val="00C92F6A"/>
    <w:rsid w:val="00D73967"/>
    <w:rsid w:val="00DA6B63"/>
    <w:rsid w:val="00E112F4"/>
    <w:rsid w:val="00E36B2B"/>
    <w:rsid w:val="00E759E4"/>
    <w:rsid w:val="00F06D48"/>
    <w:rsid w:val="00F650E4"/>
    <w:rsid w:val="00F661F6"/>
    <w:rsid w:val="00F7644D"/>
    <w:rsid w:val="00FB7D5E"/>
    <w:rsid w:val="00FF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44BDB7-A24B-435F-B508-166CD954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a-DK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D48"/>
    <w:pPr>
      <w:widowControl w:val="0"/>
      <w:suppressAutoHyphens/>
      <w:spacing w:after="0" w:line="100" w:lineRule="atLeast"/>
    </w:pPr>
    <w:rPr>
      <w:rFonts w:ascii="Calibri" w:eastAsia="Times New Roman" w:hAnsi="Calibri" w:cs="Mangal"/>
      <w:kern w:val="2"/>
      <w:sz w:val="20"/>
      <w:szCs w:val="18"/>
      <w:lang w:eastAsia="da-DK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BF7"/>
    <w:pPr>
      <w:keepNext/>
      <w:keepLines/>
      <w:spacing w:before="480"/>
      <w:outlineLvl w:val="0"/>
    </w:pPr>
    <w:rPr>
      <w:rFonts w:asciiTheme="majorHAnsi" w:eastAsiaTheme="majorEastAsia" w:hAnsiTheme="majorHAnsi" w:cs="Angsana New"/>
      <w:b/>
      <w:bCs/>
      <w:color w:val="365F91" w:themeColor="accent1" w:themeShade="BF"/>
      <w:sz w:val="2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CorrespondingAuthorFootnote">
    <w:name w:val="FA_Corresponding_Author_Footnote"/>
    <w:basedOn w:val="Normal"/>
    <w:rsid w:val="00F06D48"/>
    <w:pPr>
      <w:widowControl/>
      <w:spacing w:after="200" w:line="480" w:lineRule="auto"/>
      <w:jc w:val="both"/>
    </w:pPr>
    <w:rPr>
      <w:rFonts w:ascii="Times" w:hAnsi="Times"/>
      <w:sz w:val="24"/>
      <w:lang w:val="en-US"/>
    </w:rPr>
  </w:style>
  <w:style w:type="paragraph" w:customStyle="1" w:styleId="Paragraph">
    <w:name w:val="Paragraph"/>
    <w:basedOn w:val="Normal"/>
    <w:uiPriority w:val="99"/>
    <w:rsid w:val="00F06D48"/>
    <w:pPr>
      <w:widowControl/>
      <w:suppressAutoHyphens w:val="0"/>
      <w:spacing w:before="120" w:line="240" w:lineRule="auto"/>
      <w:ind w:firstLine="720"/>
    </w:pPr>
    <w:rPr>
      <w:rFonts w:ascii="Times New Roman" w:hAnsi="Times New Roman" w:cs="Times New Roman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CD4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CD4"/>
    <w:rPr>
      <w:rFonts w:ascii="Tahoma" w:eastAsia="Times New Roman" w:hAnsi="Tahoma" w:cs="Angsana New"/>
      <w:kern w:val="2"/>
      <w:sz w:val="16"/>
      <w:szCs w:val="20"/>
      <w:lang w:eastAsia="da-DK"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FF3BF7"/>
    <w:rPr>
      <w:rFonts w:asciiTheme="majorHAnsi" w:eastAsiaTheme="majorEastAsia" w:hAnsiTheme="majorHAnsi" w:cs="Angsana New"/>
      <w:b/>
      <w:bCs/>
      <w:color w:val="365F91" w:themeColor="accent1" w:themeShade="BF"/>
      <w:kern w:val="2"/>
      <w:sz w:val="28"/>
      <w:szCs w:val="35"/>
      <w:lang w:eastAsia="da-DK" w:bidi="th-TH"/>
    </w:rPr>
  </w:style>
  <w:style w:type="table" w:styleId="TableGrid">
    <w:name w:val="Table Grid"/>
    <w:basedOn w:val="TableNormal"/>
    <w:uiPriority w:val="59"/>
    <w:rsid w:val="00FF3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6D29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297D"/>
    <w:pPr>
      <w:widowControl/>
      <w:suppressAutoHyphens w:val="0"/>
      <w:spacing w:after="200" w:line="240" w:lineRule="auto"/>
    </w:pPr>
    <w:rPr>
      <w:rFonts w:eastAsia="Calibri" w:cs="Times New Roman"/>
      <w:kern w:val="0"/>
      <w:sz w:val="24"/>
      <w:szCs w:val="20"/>
      <w:lang w:val="en-GB" w:eastAsia="en-US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297D"/>
    <w:rPr>
      <w:rFonts w:ascii="Calibri" w:eastAsia="Calibri" w:hAnsi="Calibri" w:cs="Times New Roman"/>
      <w:sz w:val="24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7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tsa\Dropbox\PostDoc\Papers\Micro-aeration\New%20folder\16S_analysis_A2%20vs%20A3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tsa\Dropbox\PostDoc\Papers\Micro-aeration\New%20folder\16S_analysis_A2%20vs%20A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6.0667306454534595E-2"/>
          <c:y val="3.9815383485886209E-2"/>
          <c:w val="0.92445246106351253"/>
          <c:h val="0.80602643873388879"/>
        </c:manualLayout>
      </c:layout>
      <c:lineChart>
        <c:grouping val="standard"/>
        <c:varyColors val="0"/>
        <c:ser>
          <c:idx val="0"/>
          <c:order val="0"/>
          <c:tx>
            <c:strRef>
              <c:f>alpha!$A$5</c:f>
              <c:strCache>
                <c:ptCount val="1"/>
                <c:pt idx="0">
                  <c:v>PI-AD</c:v>
                </c:pt>
              </c:strCache>
            </c:strRef>
          </c:tx>
          <c:spPr>
            <a:ln>
              <a:solidFill>
                <a:schemeClr val="accent1"/>
              </a:solidFill>
            </a:ln>
          </c:spPr>
          <c:marker>
            <c:symbol val="none"/>
          </c:marker>
          <c:cat>
            <c:numRef>
              <c:f>alpha!$B$3:$U$3</c:f>
              <c:numCache>
                <c:formatCode>General</c:formatCode>
                <c:ptCount val="20"/>
                <c:pt idx="0">
                  <c:v>1</c:v>
                </c:pt>
                <c:pt idx="1">
                  <c:v>5264</c:v>
                </c:pt>
                <c:pt idx="2">
                  <c:v>10527</c:v>
                </c:pt>
                <c:pt idx="3">
                  <c:v>15790</c:v>
                </c:pt>
                <c:pt idx="4">
                  <c:v>21053</c:v>
                </c:pt>
                <c:pt idx="5">
                  <c:v>26317</c:v>
                </c:pt>
                <c:pt idx="6">
                  <c:v>31580</c:v>
                </c:pt>
                <c:pt idx="7">
                  <c:v>36843</c:v>
                </c:pt>
                <c:pt idx="8">
                  <c:v>42106</c:v>
                </c:pt>
                <c:pt idx="9">
                  <c:v>47369</c:v>
                </c:pt>
                <c:pt idx="10">
                  <c:v>52632</c:v>
                </c:pt>
                <c:pt idx="11">
                  <c:v>57895</c:v>
                </c:pt>
                <c:pt idx="12">
                  <c:v>63158</c:v>
                </c:pt>
                <c:pt idx="13">
                  <c:v>68421</c:v>
                </c:pt>
                <c:pt idx="14">
                  <c:v>73684</c:v>
                </c:pt>
                <c:pt idx="15">
                  <c:v>78948</c:v>
                </c:pt>
                <c:pt idx="16">
                  <c:v>84211</c:v>
                </c:pt>
                <c:pt idx="17">
                  <c:v>89474</c:v>
                </c:pt>
                <c:pt idx="18">
                  <c:v>94737</c:v>
                </c:pt>
                <c:pt idx="19">
                  <c:v>100000</c:v>
                </c:pt>
              </c:numCache>
            </c:numRef>
          </c:cat>
          <c:val>
            <c:numRef>
              <c:f>alpha!$B$5:$U$5</c:f>
              <c:numCache>
                <c:formatCode>General</c:formatCode>
                <c:ptCount val="20"/>
                <c:pt idx="0">
                  <c:v>1</c:v>
                </c:pt>
                <c:pt idx="1">
                  <c:v>346.71</c:v>
                </c:pt>
                <c:pt idx="2">
                  <c:v>400.05</c:v>
                </c:pt>
                <c:pt idx="3">
                  <c:v>421.94</c:v>
                </c:pt>
                <c:pt idx="4">
                  <c:v>431.71</c:v>
                </c:pt>
                <c:pt idx="5">
                  <c:v>437.56</c:v>
                </c:pt>
                <c:pt idx="6">
                  <c:v>441.11</c:v>
                </c:pt>
                <c:pt idx="7">
                  <c:v>443.3</c:v>
                </c:pt>
                <c:pt idx="8">
                  <c:v>444.66</c:v>
                </c:pt>
                <c:pt idx="9">
                  <c:v>445.56</c:v>
                </c:pt>
                <c:pt idx="10">
                  <c:v>446.34</c:v>
                </c:pt>
                <c:pt idx="11">
                  <c:v>446.81</c:v>
                </c:pt>
                <c:pt idx="12">
                  <c:v>447.31</c:v>
                </c:pt>
                <c:pt idx="13">
                  <c:v>447.62</c:v>
                </c:pt>
                <c:pt idx="14">
                  <c:v>447.84</c:v>
                </c:pt>
                <c:pt idx="15">
                  <c:v>448.04</c:v>
                </c:pt>
                <c:pt idx="16">
                  <c:v>448.3</c:v>
                </c:pt>
                <c:pt idx="17">
                  <c:v>448.61</c:v>
                </c:pt>
                <c:pt idx="18">
                  <c:v>448.72</c:v>
                </c:pt>
                <c:pt idx="19">
                  <c:v>448.72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531-47CC-B55B-8AA8745E3328}"/>
            </c:ext>
          </c:extLst>
        </c:ser>
        <c:ser>
          <c:idx val="1"/>
          <c:order val="1"/>
          <c:tx>
            <c:strRef>
              <c:f>alpha!$A$6</c:f>
              <c:strCache>
                <c:ptCount val="1"/>
                <c:pt idx="0">
                  <c:v>PII-MA</c:v>
                </c:pt>
              </c:strCache>
            </c:strRef>
          </c:tx>
          <c:spPr>
            <a:ln>
              <a:solidFill>
                <a:schemeClr val="accent2"/>
              </a:solidFill>
            </a:ln>
          </c:spPr>
          <c:marker>
            <c:symbol val="none"/>
          </c:marker>
          <c:cat>
            <c:numRef>
              <c:f>alpha!$B$3:$U$3</c:f>
              <c:numCache>
                <c:formatCode>General</c:formatCode>
                <c:ptCount val="20"/>
                <c:pt idx="0">
                  <c:v>1</c:v>
                </c:pt>
                <c:pt idx="1">
                  <c:v>5264</c:v>
                </c:pt>
                <c:pt idx="2">
                  <c:v>10527</c:v>
                </c:pt>
                <c:pt idx="3">
                  <c:v>15790</c:v>
                </c:pt>
                <c:pt idx="4">
                  <c:v>21053</c:v>
                </c:pt>
                <c:pt idx="5">
                  <c:v>26317</c:v>
                </c:pt>
                <c:pt idx="6">
                  <c:v>31580</c:v>
                </c:pt>
                <c:pt idx="7">
                  <c:v>36843</c:v>
                </c:pt>
                <c:pt idx="8">
                  <c:v>42106</c:v>
                </c:pt>
                <c:pt idx="9">
                  <c:v>47369</c:v>
                </c:pt>
                <c:pt idx="10">
                  <c:v>52632</c:v>
                </c:pt>
                <c:pt idx="11">
                  <c:v>57895</c:v>
                </c:pt>
                <c:pt idx="12">
                  <c:v>63158</c:v>
                </c:pt>
                <c:pt idx="13">
                  <c:v>68421</c:v>
                </c:pt>
                <c:pt idx="14">
                  <c:v>73684</c:v>
                </c:pt>
                <c:pt idx="15">
                  <c:v>78948</c:v>
                </c:pt>
                <c:pt idx="16">
                  <c:v>84211</c:v>
                </c:pt>
                <c:pt idx="17">
                  <c:v>89474</c:v>
                </c:pt>
                <c:pt idx="18">
                  <c:v>94737</c:v>
                </c:pt>
                <c:pt idx="19">
                  <c:v>100000</c:v>
                </c:pt>
              </c:numCache>
            </c:numRef>
          </c:cat>
          <c:val>
            <c:numRef>
              <c:f>alpha!$B$6:$U$6</c:f>
              <c:numCache>
                <c:formatCode>General</c:formatCode>
                <c:ptCount val="20"/>
                <c:pt idx="0">
                  <c:v>1</c:v>
                </c:pt>
                <c:pt idx="1">
                  <c:v>339.78</c:v>
                </c:pt>
                <c:pt idx="2">
                  <c:v>386.16</c:v>
                </c:pt>
                <c:pt idx="3">
                  <c:v>404.65</c:v>
                </c:pt>
                <c:pt idx="4">
                  <c:v>414.33</c:v>
                </c:pt>
                <c:pt idx="5">
                  <c:v>419.59</c:v>
                </c:pt>
                <c:pt idx="6">
                  <c:v>424.11</c:v>
                </c:pt>
                <c:pt idx="7">
                  <c:v>426.68</c:v>
                </c:pt>
                <c:pt idx="8">
                  <c:v>429.23</c:v>
                </c:pt>
                <c:pt idx="9">
                  <c:v>430.2</c:v>
                </c:pt>
                <c:pt idx="10">
                  <c:v>431.8</c:v>
                </c:pt>
                <c:pt idx="11">
                  <c:v>432.92</c:v>
                </c:pt>
                <c:pt idx="12">
                  <c:v>434.01</c:v>
                </c:pt>
                <c:pt idx="13">
                  <c:v>434.95</c:v>
                </c:pt>
                <c:pt idx="14">
                  <c:v>435.12</c:v>
                </c:pt>
                <c:pt idx="15">
                  <c:v>435.88</c:v>
                </c:pt>
                <c:pt idx="16">
                  <c:v>436.44</c:v>
                </c:pt>
                <c:pt idx="17">
                  <c:v>436.55</c:v>
                </c:pt>
                <c:pt idx="18">
                  <c:v>436.88</c:v>
                </c:pt>
                <c:pt idx="19">
                  <c:v>437.59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531-47CC-B55B-8AA8745E33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8403584"/>
        <c:axId val="158409472"/>
      </c:lineChart>
      <c:catAx>
        <c:axId val="15840358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58409472"/>
        <c:crosses val="autoZero"/>
        <c:auto val="1"/>
        <c:lblAlgn val="ctr"/>
        <c:lblOffset val="100"/>
        <c:noMultiLvlLbl val="0"/>
      </c:catAx>
      <c:valAx>
        <c:axId val="158409472"/>
        <c:scaling>
          <c:orientation val="minMax"/>
          <c:min val="15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58403584"/>
        <c:crosses val="autoZero"/>
        <c:crossBetween val="between"/>
        <c:majorUnit val="50"/>
        <c:minorUnit val="5"/>
      </c:valAx>
    </c:plotArea>
    <c:legend>
      <c:legendPos val="r"/>
      <c:layout>
        <c:manualLayout>
          <c:xMode val="edge"/>
          <c:yMode val="edge"/>
          <c:x val="5.9030682838653994E-2"/>
          <c:y val="4.4260524454346382E-2"/>
          <c:w val="0.92530607682850219"/>
          <c:h val="0.1081794038789799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da-DK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PCoA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13956004912531494"/>
          <c:y val="0.14952934987604208"/>
          <c:w val="0.70663253360935563"/>
          <c:h val="0.68609007829245261"/>
        </c:manualLayout>
      </c:layout>
      <c:scatterChart>
        <c:scatterStyle val="lineMarker"/>
        <c:varyColors val="0"/>
        <c:ser>
          <c:idx val="1"/>
          <c:order val="1"/>
          <c:tx>
            <c:strRef>
              <c:f>beta!$A$26</c:f>
              <c:strCache>
                <c:ptCount val="1"/>
                <c:pt idx="0">
                  <c:v>PI-AD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7"/>
            <c:spPr>
              <a:solidFill>
                <a:schemeClr val="accent2"/>
              </a:solidFill>
              <a:ln>
                <a:solidFill>
                  <a:schemeClr val="accent2"/>
                </a:solidFill>
              </a:ln>
            </c:spPr>
          </c:marker>
          <c:xVal>
            <c:numRef>
              <c:f>beta!$B$26</c:f>
              <c:numCache>
                <c:formatCode>0.00</c:formatCode>
                <c:ptCount val="1"/>
                <c:pt idx="0">
                  <c:v>-0.31</c:v>
                </c:pt>
              </c:numCache>
            </c:numRef>
          </c:xVal>
          <c:yVal>
            <c:numRef>
              <c:f>beta!$C$26</c:f>
              <c:numCache>
                <c:formatCode>0.00</c:formatCode>
                <c:ptCount val="1"/>
                <c:pt idx="0">
                  <c:v>0.06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B1B-4868-A1F7-463A083BD7FB}"/>
            </c:ext>
          </c:extLst>
        </c:ser>
        <c:ser>
          <c:idx val="3"/>
          <c:order val="2"/>
          <c:tx>
            <c:strRef>
              <c:f>beta!$A$27</c:f>
              <c:strCache>
                <c:ptCount val="1"/>
                <c:pt idx="0">
                  <c:v>PII-MA</c:v>
                </c:pt>
              </c:strCache>
            </c:strRef>
          </c:tx>
          <c:spPr>
            <a:ln w="28575">
              <a:noFill/>
            </a:ln>
          </c:spPr>
          <c:marker>
            <c:symbol val="circle"/>
            <c:size val="7"/>
            <c:spPr>
              <a:solidFill>
                <a:schemeClr val="accent1"/>
              </a:solidFill>
              <a:ln>
                <a:solidFill>
                  <a:schemeClr val="accent1"/>
                </a:solidFill>
              </a:ln>
            </c:spPr>
          </c:marker>
          <c:xVal>
            <c:numRef>
              <c:f>beta!$B$27</c:f>
              <c:numCache>
                <c:formatCode>0.00</c:formatCode>
                <c:ptCount val="1"/>
                <c:pt idx="0">
                  <c:v>-0.34</c:v>
                </c:pt>
              </c:numCache>
            </c:numRef>
          </c:xVal>
          <c:yVal>
            <c:numRef>
              <c:f>beta!$C$27</c:f>
              <c:numCache>
                <c:formatCode>0.00</c:formatCode>
                <c:ptCount val="1"/>
                <c:pt idx="0">
                  <c:v>0.1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B1B-4868-A1F7-463A083BD7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8817664"/>
        <c:axId val="158828416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beta!$A$25</c15:sqref>
                        </c15:formulaRef>
                      </c:ext>
                    </c:extLst>
                    <c:strCache>
                      <c:ptCount val="1"/>
                      <c:pt idx="0">
                        <c:v>A1_S26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diamond"/>
                  <c:size val="7"/>
                  <c:spPr>
                    <a:solidFill>
                      <a:srgbClr val="0070C0"/>
                    </a:solidFill>
                    <a:ln>
                      <a:noFill/>
                    </a:ln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beta!$B$25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-0.06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beta!$C$25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-0.27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2-DB1B-4868-A1F7-463A083BD7FB}"/>
                  </c:ext>
                </c:extLst>
              </c15:ser>
            </c15:filteredScatterSeries>
            <c15:filteredScatterSeries>
              <c15:ser>
                <c:idx val="2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beta!$A$28</c15:sqref>
                        </c15:formulaRef>
                      </c:ext>
                    </c:extLst>
                    <c:strCache>
                      <c:ptCount val="1"/>
                      <c:pt idx="0">
                        <c:v>B1_S29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triangle"/>
                  <c:size val="7"/>
                  <c:spPr>
                    <a:solidFill>
                      <a:srgbClr val="FF0000"/>
                    </a:solidFill>
                    <a:ln>
                      <a:noFill/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beta!$B$28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-0.26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beta!$C$28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-0.05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DB1B-4868-A1F7-463A083BD7FB}"/>
                  </c:ext>
                </c:extLst>
              </c15:ser>
            </c15:filteredScatterSeries>
            <c15:filteredScatter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beta!$A$29</c15:sqref>
                        </c15:formulaRef>
                      </c:ext>
                    </c:extLst>
                    <c:strCache>
                      <c:ptCount val="1"/>
                      <c:pt idx="0">
                        <c:v>B2_S30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diamond"/>
                  <c:size val="7"/>
                  <c:spPr>
                    <a:solidFill>
                      <a:srgbClr val="FF0000"/>
                    </a:solidFill>
                    <a:ln>
                      <a:noFill/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beta!$B$29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-0.27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beta!$C$29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0.03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DB1B-4868-A1F7-463A083BD7FB}"/>
                  </c:ext>
                </c:extLst>
              </c15:ser>
            </c15:filteredScatterSeries>
            <c15:filteredScatte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beta!$A$30</c15:sqref>
                        </c15:formulaRef>
                      </c:ext>
                    </c:extLst>
                    <c:strCache>
                      <c:ptCount val="1"/>
                      <c:pt idx="0">
                        <c:v>B3_S31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circle"/>
                  <c:size val="7"/>
                  <c:spPr>
                    <a:solidFill>
                      <a:srgbClr val="FF0000"/>
                    </a:solidFill>
                    <a:ln>
                      <a:noFill/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beta!$B$30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0.12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beta!$C$30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-0.03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DB1B-4868-A1F7-463A083BD7FB}"/>
                  </c:ext>
                </c:extLst>
              </c15:ser>
            </c15:filteredScatterSeries>
            <c15:filteredScatterSeries>
              <c15:ser>
                <c:idx val="6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beta!$A$31</c15:sqref>
                        </c15:formulaRef>
                      </c:ext>
                    </c:extLst>
                    <c:strCache>
                      <c:ptCount val="1"/>
                      <c:pt idx="0">
                        <c:v>B4_S32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square"/>
                  <c:size val="7"/>
                  <c:spPr>
                    <a:solidFill>
                      <a:srgbClr val="FF0000"/>
                    </a:solidFill>
                    <a:ln>
                      <a:noFill/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beta!$B$31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0.09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beta!$C$31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8.5900000000000004E-3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DB1B-4868-A1F7-463A083BD7FB}"/>
                  </c:ext>
                </c:extLst>
              </c15:ser>
            </c15:filteredScatterSeries>
            <c15:filteredScatterSeries>
              <c15:ser>
                <c:idx val="7"/>
                <c:order val="7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beta!$A$32</c15:sqref>
                        </c15:formulaRef>
                      </c:ext>
                    </c:extLst>
                    <c:strCache>
                      <c:ptCount val="1"/>
                      <c:pt idx="0">
                        <c:v>B5_S33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star"/>
                  <c:size val="7"/>
                  <c:spPr>
                    <a:noFill/>
                    <a:ln>
                      <a:solidFill>
                        <a:srgbClr val="FF0000"/>
                      </a:solidFill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beta!$B$32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0.05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beta!$C$32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0.09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DB1B-4868-A1F7-463A083BD7FB}"/>
                  </c:ext>
                </c:extLst>
              </c15:ser>
            </c15:filteredScatterSeries>
            <c15:filteredScatterSeries>
              <c15:ser>
                <c:idx val="8"/>
                <c:order val="8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beta!$A$33</c15:sqref>
                        </c15:formulaRef>
                      </c:ext>
                    </c:extLst>
                    <c:strCache>
                      <c:ptCount val="1"/>
                      <c:pt idx="0">
                        <c:v>B6_S34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dash"/>
                  <c:size val="7"/>
                  <c:spPr>
                    <a:solidFill>
                      <a:srgbClr val="FF0000"/>
                    </a:solidFill>
                    <a:ln>
                      <a:solidFill>
                        <a:srgbClr val="FF0000"/>
                      </a:solidFill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beta!$B$33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0.13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beta!$C$33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0.08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DB1B-4868-A1F7-463A083BD7FB}"/>
                  </c:ext>
                </c:extLst>
              </c15:ser>
            </c15:filteredScatterSeries>
            <c15:filteredScatterSeries>
              <c15:ser>
                <c:idx val="9"/>
                <c:order val="9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beta!$A$34</c15:sqref>
                        </c15:formulaRef>
                      </c:ext>
                    </c:extLst>
                    <c:strCache>
                      <c:ptCount val="1"/>
                      <c:pt idx="0">
                        <c:v>C1_S35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pPr>
                    <a:solidFill>
                      <a:srgbClr val="00B050"/>
                    </a:solidFill>
                    <a:ln>
                      <a:solidFill>
                        <a:srgbClr val="00B050"/>
                      </a:solidFill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beta!$B$34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0.12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beta!$C$34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-0.09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DB1B-4868-A1F7-463A083BD7FB}"/>
                  </c:ext>
                </c:extLst>
              </c15:ser>
            </c15:filteredScatterSeries>
            <c15:filteredScatterSeries>
              <c15:ser>
                <c:idx val="10"/>
                <c:order val="10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beta!$A$35</c15:sqref>
                        </c15:formulaRef>
                      </c:ext>
                    </c:extLst>
                    <c:strCache>
                      <c:ptCount val="1"/>
                      <c:pt idx="0">
                        <c:v>C2_S36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pPr>
                    <a:solidFill>
                      <a:srgbClr val="00B050"/>
                    </a:solidFill>
                    <a:ln>
                      <a:noFill/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beta!$B$35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0.13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beta!$C$35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-0.12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DB1B-4868-A1F7-463A083BD7FB}"/>
                  </c:ext>
                </c:extLst>
              </c15:ser>
            </c15:filteredScatterSeries>
            <c15:filteredScatterSeries>
              <c15:ser>
                <c:idx val="11"/>
                <c:order val="1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beta!$A$36</c15:sqref>
                        </c15:formulaRef>
                      </c:ext>
                    </c:extLst>
                    <c:strCache>
                      <c:ptCount val="1"/>
                      <c:pt idx="0">
                        <c:v>C3_S37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pPr>
                    <a:solidFill>
                      <a:srgbClr val="00B050"/>
                    </a:solidFill>
                    <a:ln>
                      <a:noFill/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beta!$B$36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0.15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beta!$C$36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0.06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DB1B-4868-A1F7-463A083BD7FB}"/>
                  </c:ext>
                </c:extLst>
              </c15:ser>
            </c15:filteredScatterSeries>
            <c15:filteredScatterSeries>
              <c15:ser>
                <c:idx val="12"/>
                <c:order val="1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beta!$A$37</c15:sqref>
                        </c15:formulaRef>
                      </c:ext>
                    </c:extLst>
                    <c:strCache>
                      <c:ptCount val="1"/>
                      <c:pt idx="0">
                        <c:v>C4_S38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circle"/>
                  <c:size val="7"/>
                  <c:spPr>
                    <a:solidFill>
                      <a:srgbClr val="00B050"/>
                    </a:solidFill>
                    <a:ln>
                      <a:noFill/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beta!$B$37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0.37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beta!$C$37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0.09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C-DB1B-4868-A1F7-463A083BD7FB}"/>
                  </c:ext>
                </c:extLst>
              </c15:ser>
            </c15:filteredScatterSeries>
            <c15:filteredScatterSeries>
              <c15:ser>
                <c:idx val="13"/>
                <c:order val="1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beta!$A$38</c15:sqref>
                        </c15:formulaRef>
                      </c:ext>
                    </c:extLst>
                    <c:strCache>
                      <c:ptCount val="1"/>
                      <c:pt idx="0">
                        <c:v>C5_S39</c:v>
                      </c:pt>
                    </c:strCache>
                  </c:strRef>
                </c:tx>
                <c:spPr>
                  <a:ln w="28575">
                    <a:noFill/>
                  </a:ln>
                </c:spPr>
                <c:marker>
                  <c:symbol val="dash"/>
                  <c:size val="7"/>
                  <c:spPr>
                    <a:solidFill>
                      <a:srgbClr val="00B050"/>
                    </a:solidFill>
                    <a:ln>
                      <a:solidFill>
                        <a:srgbClr val="00B050"/>
                      </a:solidFill>
                    </a:ln>
                  </c:spPr>
                </c:marker>
                <c:x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beta!$B$38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0.1</c:v>
                      </c:pt>
                    </c:numCache>
                  </c:numRef>
                </c:xVal>
                <c:y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beta!$C$38</c15:sqref>
                        </c15:formulaRef>
                      </c:ext>
                    </c:extLst>
                    <c:numCache>
                      <c:formatCode>0.00</c:formatCode>
                      <c:ptCount val="1"/>
                      <c:pt idx="0">
                        <c:v>0.04</c:v>
                      </c:pt>
                    </c:numCache>
                  </c:numRef>
                </c:y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DB1B-4868-A1F7-463A083BD7FB}"/>
                  </c:ext>
                </c:extLst>
              </c15:ser>
            </c15:filteredScatterSeries>
          </c:ext>
        </c:extLst>
      </c:scatterChart>
      <c:valAx>
        <c:axId val="158817664"/>
        <c:scaling>
          <c:orientation val="minMax"/>
          <c:max val="0.4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PCo 1 (58%)</a:t>
                </a:r>
              </a:p>
            </c:rich>
          </c:tx>
          <c:overlay val="0"/>
        </c:title>
        <c:numFmt formatCode="0.0" sourceLinked="0"/>
        <c:majorTickMark val="in"/>
        <c:minorTickMark val="none"/>
        <c:tickLblPos val="low"/>
        <c:crossAx val="158828416"/>
        <c:crosses val="autoZero"/>
        <c:crossBetween val="midCat"/>
      </c:valAx>
      <c:valAx>
        <c:axId val="158828416"/>
        <c:scaling>
          <c:orientation val="minMax"/>
          <c:min val="-0.30000000000000004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PCo 2 (14%)</a:t>
                </a:r>
              </a:p>
            </c:rich>
          </c:tx>
          <c:overlay val="0"/>
        </c:title>
        <c:numFmt formatCode="#,##0.00" sourceLinked="0"/>
        <c:majorTickMark val="out"/>
        <c:minorTickMark val="none"/>
        <c:tickLblPos val="low"/>
        <c:crossAx val="158817664"/>
        <c:crosses val="autoZero"/>
        <c:crossBetween val="midCat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6241135976423944"/>
          <c:y val="4.5528616846198841E-2"/>
          <c:w val="0.11587350923239852"/>
          <c:h val="0.21678684621099661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1000">
          <a:latin typeface="Times New Roman" panose="02020603050405020304" pitchFamily="18" charset="0"/>
          <a:cs typeface="Times New Roman" panose="02020603050405020304" pitchFamily="18" charset="0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AC0EB-84D1-4A72-9A9E-10115F03C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158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DTU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panak</dc:creator>
  <cp:lastModifiedBy>Panagiotis Tsapekos</cp:lastModifiedBy>
  <cp:revision>22</cp:revision>
  <dcterms:created xsi:type="dcterms:W3CDTF">2016-10-13T10:53:00Z</dcterms:created>
  <dcterms:modified xsi:type="dcterms:W3CDTF">2019-03-07T14:25:00Z</dcterms:modified>
</cp:coreProperties>
</file>