
<file path=[Content_Types].xml><?xml version="1.0" encoding="utf-8"?>
<Types xmlns="http://schemas.openxmlformats.org/package/2006/content-types">
  <Default Extension="tiff" ContentType="image/tif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8D417">
      <w:pPr>
        <w:spacing w:after="312" w:afterLines="100" w:line="480" w:lineRule="auto"/>
        <w:jc w:val="center"/>
        <w:rPr>
          <w:rFonts w:ascii="Times New Roman" w:hAnsi="Times New Roman" w:eastAsia="等线" w:cs="Times New Roman"/>
          <w:b/>
          <w:bCs/>
          <w:sz w:val="24"/>
          <w:szCs w:val="22"/>
          <w:lang w:val="en-GB"/>
          <w14:ligatures w14:val="standardContextual"/>
        </w:rPr>
      </w:pPr>
      <w:r>
        <w:rPr>
          <w:rFonts w:hint="eastAsia" w:ascii="Times New Roman" w:hAnsi="Times New Roman" w:eastAsia="等线" w:cs="Times New Roman"/>
          <w:b/>
          <w:bCs/>
          <w:sz w:val="28"/>
          <w14:ligatures w14:val="standardContextual"/>
        </w:rPr>
        <w:t>S</w:t>
      </w:r>
      <w:r>
        <w:rPr>
          <w:rFonts w:ascii="Times New Roman" w:hAnsi="Times New Roman" w:eastAsia="等线" w:cs="Times New Roman"/>
          <w:b/>
          <w:bCs/>
          <w:sz w:val="28"/>
          <w:lang w:val="en-GB"/>
          <w14:ligatures w14:val="standardContextual"/>
        </w:rPr>
        <w:t xml:space="preserve">upplementary </w:t>
      </w:r>
      <w:r>
        <w:rPr>
          <w:rFonts w:hint="eastAsia" w:ascii="Times New Roman" w:hAnsi="Times New Roman" w:eastAsia="等线" w:cs="Times New Roman"/>
          <w:b/>
          <w:bCs/>
          <w:sz w:val="28"/>
          <w14:ligatures w14:val="standardContextual"/>
        </w:rPr>
        <w:t>M</w:t>
      </w:r>
      <w:r>
        <w:rPr>
          <w:rFonts w:ascii="Times New Roman" w:hAnsi="Times New Roman" w:eastAsia="等线" w:cs="Times New Roman"/>
          <w:b/>
          <w:bCs/>
          <w:sz w:val="28"/>
          <w:lang w:val="en-GB"/>
          <w14:ligatures w14:val="standardContextual"/>
        </w:rPr>
        <w:t>aterial</w:t>
      </w:r>
    </w:p>
    <w:p w14:paraId="2C3C5E78">
      <w:pPr>
        <w:widowControl/>
        <w:spacing w:line="480" w:lineRule="auto"/>
        <w:rPr>
          <w:rFonts w:hint="eastAsia" w:ascii="Times New Roman" w:hAnsi="Times New Roman" w:eastAsia="苹方-简" w:cs="Times New Roman"/>
          <w:b/>
          <w:bCs/>
          <w:sz w:val="28"/>
          <w:szCs w:val="28"/>
          <w:lang w:bidi="ar"/>
        </w:rPr>
      </w:pPr>
      <w:r>
        <w:rPr>
          <w:rFonts w:hint="eastAsia" w:ascii="Times New Roman" w:hAnsi="Times New Roman" w:eastAsia="苹方-简" w:cs="Times New Roman"/>
          <w:b/>
          <w:bCs/>
          <w:sz w:val="28"/>
          <w:szCs w:val="28"/>
          <w:lang w:bidi="ar"/>
        </w:rPr>
        <w:t>Air nanobubble effectively enhances tetracycline degradation and antibiotic resistance genes reduction in sludge anaerobic digestion</w:t>
      </w:r>
    </w:p>
    <w:p w14:paraId="27AEB67F">
      <w:pPr>
        <w:widowControl/>
        <w:spacing w:line="480" w:lineRule="auto"/>
        <w:rPr>
          <w:rFonts w:hint="eastAsia" w:ascii="Times New Roman" w:hAnsi="Times New Roman" w:eastAsia="苹方-简" w:cs="Times New Roman"/>
          <w:b/>
          <w:bCs/>
          <w:sz w:val="28"/>
          <w:szCs w:val="28"/>
          <w:lang w:bidi="ar"/>
        </w:rPr>
      </w:pPr>
    </w:p>
    <w:p w14:paraId="18F0F23C">
      <w:pPr>
        <w:widowControl/>
        <w:spacing w:line="480" w:lineRule="auto"/>
        <w:rPr>
          <w:rFonts w:ascii="Times New Roman" w:hAnsi="Times New Roman" w:eastAsia="等线" w:cs="Times New Roman"/>
          <w:b/>
          <w:bCs/>
          <w:sz w:val="24"/>
        </w:rPr>
      </w:pPr>
      <w:r>
        <w:rPr>
          <w:rFonts w:hint="eastAsia" w:ascii="Times New Roman" w:hAnsi="Times New Roman" w:eastAsia="等线" w:cs="Times New Roman"/>
          <w:b/>
          <w:bCs/>
          <w:sz w:val="24"/>
        </w:rPr>
        <w:t>Contents:</w:t>
      </w:r>
    </w:p>
    <w:p w14:paraId="056889E3">
      <w:pPr>
        <w:spacing w:line="480" w:lineRule="auto"/>
        <w:rPr>
          <w:rFonts w:ascii="Times New Roman" w:hAnsi="Times New Roman" w:eastAsia="等线" w:cs="Times New Roman"/>
          <w:sz w:val="24"/>
        </w:rPr>
      </w:pPr>
      <w:r>
        <w:rPr>
          <w:rFonts w:hint="eastAsia" w:ascii="Times New Roman" w:hAnsi="Times New Roman" w:eastAsia="等线" w:cs="Times New Roman"/>
          <w:b/>
          <w:bCs/>
          <w:sz w:val="24"/>
        </w:rPr>
        <w:t>Table</w:t>
      </w:r>
      <w:r>
        <w:rPr>
          <w:rFonts w:ascii="Times New Roman" w:hAnsi="Times New Roman" w:eastAsia="等线" w:cs="Times New Roman"/>
          <w:b/>
          <w:bCs/>
          <w:sz w:val="24"/>
        </w:rPr>
        <w:t xml:space="preserve"> S</w:t>
      </w:r>
      <w:r>
        <w:rPr>
          <w:rFonts w:hint="eastAsia" w:ascii="Times New Roman" w:hAnsi="Times New Roman" w:eastAsia="等线" w:cs="Times New Roman"/>
          <w:b/>
          <w:bCs/>
          <w:sz w:val="24"/>
        </w:rPr>
        <w:t>1.</w:t>
      </w:r>
      <w:r>
        <w:rPr>
          <w:rFonts w:ascii="Times New Roman" w:hAnsi="Times New Roman" w:eastAsia="等线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eastAsia="等线" w:cs="Times New Roman"/>
          <w:sz w:val="24"/>
        </w:rPr>
        <w:t>Parameters of seed sludge and dewatered sludge</w:t>
      </w:r>
    </w:p>
    <w:p w14:paraId="0976CEC3">
      <w:pPr>
        <w:spacing w:line="480" w:lineRule="auto"/>
        <w:rPr>
          <w:rFonts w:hint="eastAsia" w:ascii="Times New Roman" w:hAnsi="Times New Roman" w:eastAsia="等线" w:cs="Times New Roman"/>
          <w:b/>
          <w:bCs/>
          <w:sz w:val="24"/>
        </w:rPr>
      </w:pPr>
      <w:r>
        <w:rPr>
          <w:rFonts w:hint="eastAsia" w:ascii="Times New Roman" w:hAnsi="Times New Roman" w:eastAsia="等线" w:cs="Times New Roman"/>
          <w:b/>
          <w:bCs/>
          <w:sz w:val="24"/>
        </w:rPr>
        <w:t>Table S2.</w:t>
      </w:r>
      <w:r>
        <w:rPr>
          <w:rFonts w:hint="eastAsia" w:ascii="Times New Roman" w:hAnsi="Times New Roman" w:eastAsia="等线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等线" w:cs="Times New Roman"/>
          <w:b w:val="0"/>
          <w:bCs w:val="0"/>
          <w:sz w:val="24"/>
          <w:lang w:val="en-US" w:eastAsia="zh-CN"/>
        </w:rPr>
        <w:t>Basic</w:t>
      </w:r>
      <w:r>
        <w:rPr>
          <w:rFonts w:hint="eastAsia" w:ascii="Times New Roman" w:hAnsi="Times New Roman" w:eastAsia="等线" w:cs="Times New Roman"/>
          <w:b w:val="0"/>
          <w:bCs w:val="0"/>
          <w:sz w:val="24"/>
        </w:rPr>
        <w:t xml:space="preserve"> </w:t>
      </w:r>
      <w:r>
        <w:rPr>
          <w:rFonts w:hint="eastAsia" w:ascii="Times New Roman" w:hAnsi="Times New Roman" w:eastAsia="等线" w:cs="Times New Roman"/>
          <w:b w:val="0"/>
          <w:bCs w:val="0"/>
          <w:sz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 w:val="0"/>
          <w:bCs w:val="0"/>
          <w:sz w:val="24"/>
        </w:rPr>
        <w:t xml:space="preserve">roperties of </w:t>
      </w:r>
      <w:r>
        <w:rPr>
          <w:rFonts w:hint="eastAsia" w:ascii="Times New Roman" w:hAnsi="Times New Roman" w:eastAsia="等线" w:cs="Times New Roman"/>
          <w:b w:val="0"/>
          <w:bCs w:val="0"/>
          <w:sz w:val="24"/>
          <w:lang w:val="en-US" w:eastAsia="zh-CN"/>
        </w:rPr>
        <w:t>a</w:t>
      </w:r>
      <w:r>
        <w:rPr>
          <w:rFonts w:hint="eastAsia" w:ascii="Times New Roman" w:hAnsi="Times New Roman" w:eastAsia="等线" w:cs="Times New Roman"/>
          <w:b w:val="0"/>
          <w:bCs w:val="0"/>
          <w:sz w:val="24"/>
        </w:rPr>
        <w:t xml:space="preserve">ir </w:t>
      </w:r>
      <w:r>
        <w:rPr>
          <w:rFonts w:hint="eastAsia" w:ascii="Times New Roman" w:hAnsi="Times New Roman" w:eastAsia="等线" w:cs="Times New Roman"/>
          <w:b w:val="0"/>
          <w:bCs w:val="0"/>
          <w:sz w:val="24"/>
          <w:lang w:val="en-US" w:eastAsia="zh-CN"/>
        </w:rPr>
        <w:t>n</w:t>
      </w:r>
      <w:r>
        <w:rPr>
          <w:rFonts w:hint="eastAsia" w:ascii="Times New Roman" w:hAnsi="Times New Roman" w:eastAsia="等线" w:cs="Times New Roman"/>
          <w:b w:val="0"/>
          <w:bCs w:val="0"/>
          <w:sz w:val="24"/>
        </w:rPr>
        <w:t xml:space="preserve">anobubble </w:t>
      </w:r>
      <w:r>
        <w:rPr>
          <w:rFonts w:hint="eastAsia" w:ascii="Times New Roman" w:hAnsi="Times New Roman" w:eastAsia="等线" w:cs="Times New Roman"/>
          <w:b w:val="0"/>
          <w:bCs w:val="0"/>
          <w:sz w:val="24"/>
          <w:lang w:val="en-US" w:eastAsia="zh-CN"/>
        </w:rPr>
        <w:t>w</w:t>
      </w:r>
      <w:r>
        <w:rPr>
          <w:rFonts w:hint="eastAsia" w:ascii="Times New Roman" w:hAnsi="Times New Roman" w:eastAsia="等线" w:cs="Times New Roman"/>
          <w:b w:val="0"/>
          <w:bCs w:val="0"/>
          <w:sz w:val="24"/>
        </w:rPr>
        <w:t>ater</w:t>
      </w:r>
    </w:p>
    <w:p w14:paraId="0257B3FB">
      <w:pPr>
        <w:spacing w:line="480" w:lineRule="auto"/>
        <w:rPr>
          <w:rFonts w:ascii="Times New Roman" w:hAnsi="Times New Roman" w:eastAsia="等线" w:cs="Times New Roman"/>
          <w:b/>
          <w:bCs/>
          <w:sz w:val="24"/>
        </w:rPr>
      </w:pPr>
      <w:r>
        <w:rPr>
          <w:rFonts w:hint="eastAsia" w:ascii="Times New Roman" w:hAnsi="Times New Roman" w:eastAsia="等线" w:cs="Times New Roman"/>
          <w:b/>
          <w:bCs/>
          <w:sz w:val="24"/>
        </w:rPr>
        <w:t>Table S</w:t>
      </w:r>
      <w:r>
        <w:rPr>
          <w:rFonts w:hint="eastAsia" w:ascii="Times New Roman" w:hAnsi="Times New Roman" w:eastAsia="等线" w:cs="Times New Roman"/>
          <w:b/>
          <w:bCs/>
          <w:sz w:val="24"/>
          <w:lang w:val="en-US" w:eastAsia="zh-CN"/>
        </w:rPr>
        <w:t>3</w:t>
      </w:r>
      <w:r>
        <w:rPr>
          <w:rFonts w:hint="eastAsia" w:ascii="Times New Roman" w:hAnsi="Times New Roman" w:eastAsia="等线" w:cs="Times New Roman"/>
          <w:b/>
          <w:bCs/>
          <w:sz w:val="24"/>
        </w:rPr>
        <w:t xml:space="preserve">. </w:t>
      </w:r>
      <w:r>
        <w:rPr>
          <w:rFonts w:hint="eastAsia" w:ascii="Times New Roman" w:hAnsi="Times New Roman" w:eastAsia="等线" w:cs="Times New Roman"/>
          <w:sz w:val="24"/>
        </w:rPr>
        <w:t>Liquid chromatography conditions for the tetracycline detection</w:t>
      </w:r>
    </w:p>
    <w:p w14:paraId="3627258E">
      <w:pPr>
        <w:spacing w:line="480" w:lineRule="auto"/>
        <w:rPr>
          <w:rFonts w:ascii="Times New Roman" w:hAnsi="Times New Roman" w:eastAsia="等线" w:cs="Times New Roman"/>
          <w:sz w:val="24"/>
        </w:rPr>
      </w:pPr>
      <w:r>
        <w:rPr>
          <w:rFonts w:hint="eastAsia" w:ascii="Times New Roman" w:hAnsi="Times New Roman" w:eastAsia="等线" w:cs="Times New Roman"/>
          <w:b/>
          <w:bCs/>
          <w:sz w:val="24"/>
        </w:rPr>
        <w:t>Table S</w:t>
      </w:r>
      <w:r>
        <w:rPr>
          <w:rFonts w:hint="eastAsia" w:ascii="Times New Roman" w:hAnsi="Times New Roman" w:eastAsia="等线" w:cs="Times New Roman"/>
          <w:b/>
          <w:bCs/>
          <w:sz w:val="24"/>
          <w:lang w:val="en-US" w:eastAsia="zh-CN"/>
        </w:rPr>
        <w:t>4</w:t>
      </w:r>
      <w:r>
        <w:rPr>
          <w:rFonts w:hint="eastAsia" w:ascii="Times New Roman" w:hAnsi="Times New Roman" w:eastAsia="等线" w:cs="Times New Roman"/>
          <w:b/>
          <w:bCs/>
          <w:sz w:val="24"/>
        </w:rPr>
        <w:t xml:space="preserve">. </w:t>
      </w:r>
      <w:r>
        <w:rPr>
          <w:rFonts w:hint="eastAsia" w:ascii="Times New Roman" w:hAnsi="Times New Roman" w:eastAsia="等线" w:cs="Times New Roman"/>
          <w:sz w:val="24"/>
        </w:rPr>
        <w:t>Mass spectrometry methods for the tetracycline analysis</w:t>
      </w:r>
    </w:p>
    <w:p w14:paraId="3C15D986">
      <w:pPr>
        <w:spacing w:line="480" w:lineRule="auto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hint="eastAsia" w:ascii="Times New Roman" w:hAnsi="Times New Roman" w:eastAsia="等线" w:cs="Times New Roman"/>
          <w:b/>
          <w:bCs/>
          <w:sz w:val="24"/>
        </w:rPr>
        <w:t>Table</w:t>
      </w:r>
      <w:r>
        <w:rPr>
          <w:rFonts w:ascii="Times New Roman" w:hAnsi="Times New Roman" w:eastAsia="等线" w:cs="Times New Roman"/>
          <w:b/>
          <w:bCs/>
          <w:sz w:val="24"/>
        </w:rPr>
        <w:t xml:space="preserve"> S</w:t>
      </w:r>
      <w:r>
        <w:rPr>
          <w:rFonts w:hint="eastAsia" w:ascii="Times New Roman" w:hAnsi="Times New Roman" w:eastAsia="等线" w:cs="Times New Roman"/>
          <w:b/>
          <w:bCs/>
          <w:sz w:val="24"/>
          <w:lang w:val="en-US" w:eastAsia="zh-CN"/>
        </w:rPr>
        <w:t>5</w:t>
      </w:r>
      <w:r>
        <w:rPr>
          <w:rFonts w:hint="eastAsia" w:ascii="Times New Roman" w:hAnsi="Times New Roman" w:eastAsia="等线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eastAsia="等线" w:cs="Times New Roman"/>
          <w:sz w:val="24"/>
        </w:rPr>
        <w:t>Parameters of the modified Gompertz model</w:t>
      </w:r>
    </w:p>
    <w:p w14:paraId="1596C885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</w:rPr>
        <w:t xml:space="preserve">Fig S1. </w:t>
      </w:r>
      <w:r>
        <w:rPr>
          <w:rFonts w:hint="eastAsia" w:ascii="Times New Roman" w:hAnsi="Times New Roman" w:cs="Times New Roman"/>
          <w:sz w:val="24"/>
          <w:szCs w:val="32"/>
        </w:rPr>
        <w:t>The pH (a), soluble chemical oxygen demand (b), total ammonia nitrogen (c), and free ammonia nitrogen (d) during anaerobic digestion.</w:t>
      </w:r>
    </w:p>
    <w:p w14:paraId="66D7630C">
      <w:pPr>
        <w:spacing w:line="480" w:lineRule="auto"/>
        <w:rPr>
          <w:rFonts w:ascii="Times New Roman" w:hAnsi="Times New Roman" w:eastAsia="宋体" w:cs="Times New Roman"/>
          <w:sz w:val="24"/>
          <w:szCs w:val="32"/>
          <w:lang w:bidi="ar"/>
        </w:rPr>
      </w:pPr>
      <w:r>
        <w:rPr>
          <w:rFonts w:ascii="Times New Roman" w:hAnsi="Times New Roman" w:eastAsia="宋体" w:cs="Times New Roman"/>
          <w:b/>
          <w:bCs/>
          <w:sz w:val="24"/>
          <w:szCs w:val="32"/>
          <w:lang w:bidi="ar"/>
        </w:rPr>
        <w:t>Fig S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bidi="ar"/>
        </w:rPr>
        <w:t>2.</w:t>
      </w:r>
      <w:r>
        <w:rPr>
          <w:rFonts w:ascii="Times New Roman" w:hAnsi="Times New Roman" w:eastAsia="宋体" w:cs="Times New Roman"/>
          <w:b/>
          <w:bCs/>
          <w:sz w:val="24"/>
          <w:szCs w:val="32"/>
          <w:lang w:bidi="ar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32"/>
          <w:lang w:bidi="ar"/>
        </w:rPr>
        <w:t xml:space="preserve">Principal component analysis of bacteria (a) and archaea (b). </w:t>
      </w:r>
    </w:p>
    <w:p w14:paraId="57D17FA4">
      <w:pPr>
        <w:spacing w:line="48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32"/>
          <w:lang w:bidi="ar"/>
        </w:rPr>
        <w:t>Fig. S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32"/>
          <w:lang w:val="en-US" w:eastAsia="zh-CN" w:bidi="ar"/>
        </w:rPr>
        <w:t>3.</w:t>
      </w:r>
      <w:r>
        <w:rPr>
          <w:rFonts w:hint="eastAsia" w:ascii="Times New Roman" w:hAnsi="Times New Roman" w:eastAsia="宋体" w:cs="Times New Roman"/>
          <w:sz w:val="24"/>
          <w:szCs w:val="32"/>
          <w:lang w:bidi="ar"/>
        </w:rPr>
        <w:t xml:space="preserve"> Changes in the abundance of the major tetracycline resistance genes during anaerobic digestion (Background color: blue-efflux pump genes, yellow-ribosomal protection protein genes, red-enzymatic modification genes)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 w:bidi="ar"/>
        </w:rPr>
        <w:t>.</w:t>
      </w:r>
    </w:p>
    <w:p w14:paraId="4EDE60CA">
      <w:pPr>
        <w:spacing w:line="480" w:lineRule="auto"/>
        <w:rPr>
          <w:rFonts w:hint="eastAsia" w:ascii="Times New Roman" w:hAnsi="Times New Roman" w:eastAsia="宋体" w:cs="Times New Roman"/>
          <w:sz w:val="24"/>
          <w:szCs w:val="32"/>
          <w:lang w:bidi="ar"/>
        </w:rPr>
      </w:pPr>
      <w:r>
        <w:rPr>
          <w:rFonts w:ascii="Times New Roman" w:hAnsi="Times New Roman" w:eastAsia="宋体" w:cs="Times New Roman"/>
          <w:b/>
          <w:bCs/>
          <w:color w:val="FF0000"/>
          <w:sz w:val="24"/>
          <w:szCs w:val="32"/>
          <w:lang w:bidi="ar"/>
        </w:rPr>
        <w:t>Fig S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32"/>
          <w:lang w:val="en-US" w:eastAsia="zh-CN" w:bidi="ar"/>
        </w:rPr>
        <w:t>4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32"/>
          <w:lang w:bidi="ar"/>
        </w:rPr>
        <w:t>.</w:t>
      </w:r>
      <w:r>
        <w:rPr>
          <w:rFonts w:ascii="Times New Roman" w:hAnsi="Times New Roman" w:eastAsia="宋体" w:cs="Times New Roman"/>
          <w:b/>
          <w:bCs/>
          <w:sz w:val="24"/>
          <w:szCs w:val="32"/>
          <w:lang w:bidi="ar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32"/>
          <w:lang w:bidi="ar"/>
        </w:rPr>
        <w:t>Heatmap of correlation between tetracycline resistance genes and bacteria (a) or archaea (b).</w:t>
      </w:r>
    </w:p>
    <w:p w14:paraId="79B6FBE5">
      <w:pPr>
        <w:spacing w:line="48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 w:bidi="ar"/>
        </w:rPr>
      </w:pPr>
    </w:p>
    <w:p w14:paraId="6BFF8241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br w:type="page"/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S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1 Parameters of seed sludge and dewatered sludge</w:t>
      </w:r>
    </w:p>
    <w:tbl>
      <w:tblPr>
        <w:tblStyle w:val="10"/>
        <w:tblW w:w="0" w:type="auto"/>
        <w:jc w:val="center"/>
        <w:tblBorders>
          <w:top w:val="single" w:color="7E7E7E" w:sz="4" w:space="0"/>
          <w:left w:val="none" w:color="auto" w:sz="0" w:space="0"/>
          <w:bottom w:val="single" w:color="7E7E7E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1875"/>
        <w:gridCol w:w="1877"/>
      </w:tblGrid>
      <w:tr w14:paraId="58D1CA2A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763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553D6A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bookmarkStart w:id="0" w:name="_Hlk149143269"/>
          </w:p>
        </w:tc>
        <w:tc>
          <w:tcPr>
            <w:tcW w:w="187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67074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Seed sludge</w:t>
            </w:r>
          </w:p>
        </w:tc>
        <w:tc>
          <w:tcPr>
            <w:tcW w:w="187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96F48A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Dewatered sludge</w:t>
            </w:r>
          </w:p>
        </w:tc>
      </w:tr>
      <w:tr w14:paraId="678C9E2D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763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0684CD4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TS (%)</w:t>
            </w:r>
          </w:p>
        </w:tc>
        <w:tc>
          <w:tcPr>
            <w:tcW w:w="1875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17FF108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3.16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02</w:t>
            </w:r>
          </w:p>
        </w:tc>
        <w:tc>
          <w:tcPr>
            <w:tcW w:w="1877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08D4BF5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4.09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05</w:t>
            </w:r>
          </w:p>
        </w:tc>
      </w:tr>
      <w:tr w14:paraId="4AF2E73F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975167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VS (%)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4C62C8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1.08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01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1D5DA3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7.26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05</w:t>
            </w:r>
          </w:p>
        </w:tc>
      </w:tr>
      <w:tr w14:paraId="66BE7B2C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C7A659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VS/TS (%)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20A626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34.25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06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98E10C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51.62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12</w:t>
            </w:r>
          </w:p>
        </w:tc>
      </w:tr>
      <w:tr w14:paraId="0CB9FC6D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5C86A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pH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3A3E8D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83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±0.01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1D56F0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6.93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</w:t>
            </w:r>
          </w:p>
        </w:tc>
      </w:tr>
      <w:tr w14:paraId="690EE29A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160B19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SCOD (mg L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8BC0AB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328.17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8.34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138EAB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1667.22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14.72</w:t>
            </w:r>
          </w:p>
        </w:tc>
      </w:tr>
      <w:tr w14:paraId="5BA3B0C7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FA8211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TAN (mg L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68BC13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820.67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4.25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E7F6E0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205.50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4.00</w:t>
            </w:r>
          </w:p>
        </w:tc>
      </w:tr>
      <w:tr w14:paraId="37F31F21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C60F5E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</w:pPr>
            <w:bookmarkStart w:id="1" w:name="_Hlk152751908"/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C (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  <w:szCs w:val="21"/>
              </w:rPr>
              <w:t>%, dry solids)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D66615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16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21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A9A28F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27.01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13</w:t>
            </w:r>
          </w:p>
        </w:tc>
      </w:tr>
      <w:tr w14:paraId="5CFEDE57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D31547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N (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  <w:szCs w:val="21"/>
              </w:rPr>
              <w:t>%, dry solids)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45C7BE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42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69F215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3.61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02</w:t>
            </w:r>
          </w:p>
        </w:tc>
      </w:tr>
      <w:tr w14:paraId="548C304A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A1AA55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H (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  <w:szCs w:val="21"/>
              </w:rPr>
              <w:t>%, dry solids)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C23342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2.63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9692C2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4.3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06</w:t>
            </w:r>
          </w:p>
        </w:tc>
      </w:tr>
      <w:tr w14:paraId="0CE45728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014323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S (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  <w:szCs w:val="21"/>
              </w:rPr>
              <w:t>%, dry solids)</w:t>
            </w:r>
          </w:p>
        </w:tc>
        <w:tc>
          <w:tcPr>
            <w:tcW w:w="18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674A34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</w:t>
            </w:r>
          </w:p>
        </w:tc>
        <w:tc>
          <w:tcPr>
            <w:tcW w:w="18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E28D73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20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</w:t>
            </w:r>
          </w:p>
        </w:tc>
      </w:tr>
      <w:tr w14:paraId="3EB188CD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3E22B62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  <w:szCs w:val="21"/>
              </w:rPr>
              <w:t>C/N</w:t>
            </w:r>
          </w:p>
        </w:tc>
        <w:tc>
          <w:tcPr>
            <w:tcW w:w="1875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21C76B0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11.35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08</w:t>
            </w:r>
          </w:p>
        </w:tc>
        <w:tc>
          <w:tcPr>
            <w:tcW w:w="1877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0089750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7.48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±0.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01</w:t>
            </w:r>
          </w:p>
        </w:tc>
      </w:tr>
      <w:bookmarkEnd w:id="0"/>
      <w:bookmarkEnd w:id="1"/>
    </w:tbl>
    <w:p w14:paraId="4C3C5A26">
      <w:pPr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vertAlign w:val="superscript"/>
        </w:rPr>
        <w:t>Note: All values are expressed as mean ± standard deviation (n = 3).</w:t>
      </w:r>
    </w:p>
    <w:p w14:paraId="7FDFB5F2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br w:type="page"/>
      </w:r>
    </w:p>
    <w:p w14:paraId="7E8A63FF">
      <w:pPr>
        <w:spacing w:line="480" w:lineRule="auto"/>
        <w:jc w:val="center"/>
        <w:rPr>
          <w:rFonts w:hint="eastAsia" w:ascii="Times New Roman" w:hAnsi="Times New Roman" w:eastAsia="宋体" w:cs="Times New Roman"/>
          <w:b/>
          <w:bCs/>
          <w:sz w:val="24"/>
          <w:szCs w:val="28"/>
        </w:rPr>
      </w:pPr>
      <w:bookmarkStart w:id="2" w:name="OLE_LINK53"/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8"/>
        </w:rPr>
        <w:t>Table S2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8"/>
          <w:lang w:val="en-US" w:eastAsia="zh-CN"/>
        </w:rPr>
        <w:t xml:space="preserve"> Basic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8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 xml:space="preserve">roperties of 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 xml:space="preserve">ir 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 xml:space="preserve">anobubble 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w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ater</w:t>
      </w:r>
    </w:p>
    <w:tbl>
      <w:tblPr>
        <w:tblStyle w:val="14"/>
        <w:tblpPr w:leftFromText="180" w:rightFromText="180" w:vertAnchor="text" w:horzAnchor="page" w:tblpXSpec="center" w:tblpY="182"/>
        <w:tblOverlap w:val="never"/>
        <w:tblW w:w="9930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185"/>
        <w:gridCol w:w="1458"/>
        <w:gridCol w:w="1899"/>
        <w:gridCol w:w="2296"/>
        <w:gridCol w:w="1708"/>
      </w:tblGrid>
      <w:tr w14:paraId="3D5C9B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</w:tcPr>
          <w:p w14:paraId="65CB8460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185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</w:tcPr>
          <w:p w14:paraId="7F2310B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pH</w:t>
            </w:r>
          </w:p>
        </w:tc>
        <w:tc>
          <w:tcPr>
            <w:tcW w:w="1458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shd w:val="clear" w:color="auto" w:fill="auto"/>
            <w:vAlign w:val="top"/>
          </w:tcPr>
          <w:p w14:paraId="58AFBA2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DO (mg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L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  <w:tc>
          <w:tcPr>
            <w:tcW w:w="1899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</w:tcPr>
          <w:p w14:paraId="53D27615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Z</w:t>
            </w:r>
            <w:r>
              <w:rPr>
                <w:rFonts w:hint="eastAsia" w:ascii="Times New Roman" w:hAnsi="Times New Roman" w:eastAsia="宋体" w:cs="Times New Roman"/>
              </w:rPr>
              <w:t>eta potential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(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mV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  <w:tc>
          <w:tcPr>
            <w:tcW w:w="2296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</w:tcPr>
          <w:p w14:paraId="5C618CA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Conductivity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(µS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cm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  <w:tc>
          <w:tcPr>
            <w:tcW w:w="1708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</w:tcPr>
          <w:p w14:paraId="38E8CA2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Temperature (</w:t>
            </w:r>
            <w:r>
              <w:rPr>
                <w:rFonts w:hint="default" w:ascii="Times New Roman" w:hAnsi="Times New Roman" w:eastAsia="宋体" w:cs="Times New Roman"/>
              </w:rPr>
              <w:t>℃</w:t>
            </w:r>
            <w:r>
              <w:rPr>
                <w:rFonts w:hint="eastAsia" w:ascii="Times New Roman" w:hAnsi="Times New Roman" w:eastAsia="宋体" w:cs="Times New Roman"/>
              </w:rPr>
              <w:t>)</w:t>
            </w:r>
          </w:p>
        </w:tc>
      </w:tr>
      <w:tr w14:paraId="785E5C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E124EE3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Air-NBW</w:t>
            </w:r>
          </w:p>
        </w:tc>
        <w:tc>
          <w:tcPr>
            <w:tcW w:w="1185" w:type="dxa"/>
          </w:tcPr>
          <w:p w14:paraId="6769885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5.</w:t>
            </w:r>
            <w:r>
              <w:rPr>
                <w:rFonts w:hint="eastAsia" w:ascii="Times New Roman" w:hAnsi="Times New Roman" w:eastAsia="宋体" w:cs="Times New Roman"/>
              </w:rPr>
              <w:t>5</w:t>
            </w:r>
            <w:r>
              <w:rPr>
                <w:rFonts w:ascii="Times New Roman" w:hAnsi="Times New Roman" w:eastAsia="宋体" w:cs="Times New Roman"/>
              </w:rPr>
              <w:t>8 ± 0.03</w:t>
            </w:r>
          </w:p>
        </w:tc>
        <w:tc>
          <w:tcPr>
            <w:tcW w:w="1458" w:type="dxa"/>
            <w:shd w:val="clear" w:color="auto" w:fill="auto"/>
            <w:vAlign w:val="top"/>
          </w:tcPr>
          <w:p w14:paraId="26CAB00B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8.83 ±</w:t>
            </w:r>
            <w:r>
              <w:rPr>
                <w:rFonts w:hint="eastAsia" w:ascii="Times New Roman" w:hAnsi="Times New Roman" w:eastAsia="宋体" w:cs="Times New Roman"/>
              </w:rPr>
              <w:t xml:space="preserve"> 0.37</w:t>
            </w:r>
          </w:p>
        </w:tc>
        <w:tc>
          <w:tcPr>
            <w:tcW w:w="1899" w:type="dxa"/>
          </w:tcPr>
          <w:p w14:paraId="2BC1084F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-23.5 </w:t>
            </w:r>
            <w:r>
              <w:rPr>
                <w:rFonts w:ascii="Times New Roman" w:hAnsi="Times New Roman" w:eastAsia="宋体" w:cs="Times New Roman"/>
              </w:rPr>
              <w:t>±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1.2</w:t>
            </w:r>
          </w:p>
        </w:tc>
        <w:tc>
          <w:tcPr>
            <w:tcW w:w="2296" w:type="dxa"/>
          </w:tcPr>
          <w:p w14:paraId="2895A95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3.0</w:t>
            </w:r>
            <w:r>
              <w:rPr>
                <w:rFonts w:hint="eastAsia" w:ascii="Times New Roman" w:hAnsi="Times New Roman" w:eastAsia="宋体" w:cs="Times New Roman"/>
              </w:rPr>
              <w:t>3</w:t>
            </w:r>
            <w:r>
              <w:rPr>
                <w:rFonts w:ascii="Times New Roman" w:hAnsi="Times New Roman" w:eastAsia="宋体" w:cs="Times New Roman"/>
              </w:rPr>
              <w:t xml:space="preserve"> ± 0.0</w:t>
            </w:r>
            <w:r>
              <w:rPr>
                <w:rFonts w:hint="eastAsia" w:ascii="Times New Roman" w:hAnsi="Times New Roman" w:eastAsia="宋体" w:cs="Times New Roman"/>
              </w:rPr>
              <w:t>7</w:t>
            </w:r>
          </w:p>
        </w:tc>
        <w:tc>
          <w:tcPr>
            <w:tcW w:w="1708" w:type="dxa"/>
          </w:tcPr>
          <w:p w14:paraId="7CC29FB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23.7 ± 0.2</w:t>
            </w:r>
          </w:p>
        </w:tc>
      </w:tr>
    </w:tbl>
    <w:p w14:paraId="645EC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ascii="Times New Roman" w:hAnsi="Times New Roman" w:eastAsia="宋体" w:cs="Times New Roman"/>
          <w:sz w:val="24"/>
          <w:vertAlign w:val="superscript"/>
        </w:rPr>
        <w:t>Note: All values are expressed as mean ± standard deviation (n = 3).</w:t>
      </w:r>
    </w:p>
    <w:p w14:paraId="5FCBD97D">
      <w:pPr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br w:type="page"/>
      </w:r>
    </w:p>
    <w:p w14:paraId="4483CE24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8"/>
        </w:rPr>
      </w:pPr>
      <w:bookmarkStart w:id="4" w:name="_GoBack"/>
      <w:bookmarkEnd w:id="4"/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S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 Liquid chromatography conditions for the tetracycline detection</w:t>
      </w:r>
    </w:p>
    <w:tbl>
      <w:tblPr>
        <w:tblStyle w:val="10"/>
        <w:tblW w:w="7144" w:type="dxa"/>
        <w:jc w:val="center"/>
        <w:tblBorders>
          <w:top w:val="single" w:color="7E7E7E" w:sz="4" w:space="0"/>
          <w:left w:val="none" w:color="auto" w:sz="0" w:space="0"/>
          <w:bottom w:val="single" w:color="7E7E7E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551"/>
        <w:gridCol w:w="1531"/>
        <w:gridCol w:w="1531"/>
      </w:tblGrid>
      <w:tr w14:paraId="06C69689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3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945917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Cs w:val="21"/>
              </w:rPr>
              <w:t>Time (min)</w:t>
            </w:r>
          </w:p>
        </w:tc>
        <w:tc>
          <w:tcPr>
            <w:tcW w:w="255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BD6586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Flow velocity (mL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min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)</w:t>
            </w:r>
          </w:p>
        </w:tc>
        <w:tc>
          <w:tcPr>
            <w:tcW w:w="153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3F4FB8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%A</w:t>
            </w:r>
          </w:p>
        </w:tc>
        <w:tc>
          <w:tcPr>
            <w:tcW w:w="153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9ADEC0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%B</w:t>
            </w:r>
          </w:p>
        </w:tc>
      </w:tr>
      <w:tr w14:paraId="07F8DE21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31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0BA31C6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2551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4D37BFE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1531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5074874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531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6098C88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10</w:t>
            </w:r>
          </w:p>
        </w:tc>
      </w:tr>
      <w:tr w14:paraId="63792CD0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47C877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255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EE070C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6FE906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EF3656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</w:t>
            </w:r>
          </w:p>
        </w:tc>
      </w:tr>
      <w:tr w14:paraId="586D014B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C4AE3B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255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21A930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469CDF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19639F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95</w:t>
            </w:r>
          </w:p>
        </w:tc>
      </w:tr>
      <w:tr w14:paraId="5B1EFD8D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DA94B1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255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29934E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0BE23D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A6283A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95</w:t>
            </w:r>
          </w:p>
        </w:tc>
      </w:tr>
      <w:tr w14:paraId="4CCDA087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F10C3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255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898762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FD22B6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53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AB0475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10</w:t>
            </w:r>
          </w:p>
        </w:tc>
      </w:tr>
      <w:tr w14:paraId="3A593EB4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7AC50C7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2551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7B8683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0.25</w:t>
            </w:r>
          </w:p>
        </w:tc>
        <w:tc>
          <w:tcPr>
            <w:tcW w:w="1531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4BD5FF6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531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527F4FF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10</w:t>
            </w:r>
          </w:p>
        </w:tc>
      </w:tr>
    </w:tbl>
    <w:p w14:paraId="725B05E8">
      <w:pPr>
        <w:jc w:val="center"/>
        <w:rPr>
          <w:rFonts w:ascii="Times New Roman" w:hAnsi="Times New Roman" w:eastAsia="宋体" w:cs="Times New Roman"/>
          <w:sz w:val="15"/>
          <w:szCs w:val="15"/>
        </w:rPr>
      </w:pPr>
      <w:r>
        <w:rPr>
          <w:rFonts w:ascii="Times New Roman" w:hAnsi="Times New Roman" w:eastAsia="宋体" w:cs="Times New Roman"/>
          <w:sz w:val="18"/>
          <w:szCs w:val="18"/>
        </w:rPr>
        <w:t>Note: Separation column i</w:t>
      </w:r>
      <w:r>
        <w:rPr>
          <w:rFonts w:ascii="Times New Roman" w:hAnsi="Times New Roman" w:eastAsia="宋体" w:cs="Times New Roman"/>
          <w:sz w:val="15"/>
          <w:szCs w:val="15"/>
        </w:rPr>
        <w:t>s C18 (100*2.1 mm, 1.9 μm); The column temperature is 40 °C, the injection volume is 10 μL; Mobile phase A is 0.1% aqueous formic acid solution; Mobile phase B is acetonitrile.</w:t>
      </w:r>
    </w:p>
    <w:p w14:paraId="06AF3FDE">
      <w:pPr>
        <w:rPr>
          <w:rFonts w:ascii="Times New Roman" w:hAnsi="Times New Roman" w:eastAsia="宋体" w:cs="Times New Roman"/>
          <w:sz w:val="15"/>
          <w:szCs w:val="15"/>
        </w:rPr>
      </w:pPr>
      <w:r>
        <w:rPr>
          <w:rFonts w:ascii="Times New Roman" w:hAnsi="Times New Roman" w:eastAsia="宋体" w:cs="Times New Roman"/>
          <w:sz w:val="15"/>
          <w:szCs w:val="15"/>
        </w:rPr>
        <w:br w:type="page"/>
      </w:r>
    </w:p>
    <w:p w14:paraId="46EFB75E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S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 Mass spectrometry methods for the tetracycline analysis</w:t>
      </w:r>
    </w:p>
    <w:tbl>
      <w:tblPr>
        <w:tblStyle w:val="10"/>
        <w:tblW w:w="8127" w:type="dxa"/>
        <w:jc w:val="center"/>
        <w:tblBorders>
          <w:top w:val="single" w:color="7E7E7E" w:sz="4" w:space="0"/>
          <w:left w:val="none" w:color="auto" w:sz="0" w:space="0"/>
          <w:bottom w:val="single" w:color="7E7E7E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1728"/>
        <w:gridCol w:w="1984"/>
        <w:gridCol w:w="1474"/>
        <w:gridCol w:w="1474"/>
      </w:tblGrid>
      <w:tr w14:paraId="2BEB5DEF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46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37F9FA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72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14354C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Parent ion (m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z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)</w:t>
            </w:r>
          </w:p>
        </w:tc>
        <w:tc>
          <w:tcPr>
            <w:tcW w:w="198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8B4332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Daughter ion (m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z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561335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Collision voltage (V)</w:t>
            </w:r>
          </w:p>
        </w:tc>
        <w:tc>
          <w:tcPr>
            <w:tcW w:w="147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7C4C65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Cs w:val="21"/>
              </w:rPr>
              <w:t>Collision Energy (eV)</w:t>
            </w:r>
          </w:p>
        </w:tc>
      </w:tr>
      <w:tr w14:paraId="3ECA1E58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467" w:type="dxa"/>
            <w:vMerge w:val="restart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A5DAC6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Cs w:val="21"/>
              </w:rPr>
              <w:t>Tetracycline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1A04DC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445.0</w:t>
            </w:r>
          </w:p>
        </w:tc>
        <w:tc>
          <w:tcPr>
            <w:tcW w:w="1984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4609850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410.2</w:t>
            </w:r>
          </w:p>
        </w:tc>
        <w:tc>
          <w:tcPr>
            <w:tcW w:w="1474" w:type="dxa"/>
            <w:vMerge w:val="restart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AD9C1B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474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352D63B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</w:t>
            </w:r>
          </w:p>
        </w:tc>
      </w:tr>
      <w:tr w14:paraId="0FF3B836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vMerge w:val="continue"/>
            <w:shd w:val="clear" w:color="auto" w:fill="FFFFFF"/>
            <w:vAlign w:val="center"/>
          </w:tcPr>
          <w:p w14:paraId="148BD57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728" w:type="dxa"/>
            <w:vMerge w:val="continue"/>
            <w:shd w:val="clear" w:color="auto" w:fill="FFFFFF"/>
            <w:vAlign w:val="center"/>
          </w:tcPr>
          <w:p w14:paraId="1353A92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71BEA5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427.2</w:t>
            </w:r>
          </w:p>
        </w:tc>
        <w:tc>
          <w:tcPr>
            <w:tcW w:w="1474" w:type="dxa"/>
            <w:vMerge w:val="continue"/>
            <w:shd w:val="clear" w:color="auto" w:fill="FFFFFF"/>
            <w:vAlign w:val="center"/>
          </w:tcPr>
          <w:p w14:paraId="6E556A5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008F31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14</w:t>
            </w:r>
          </w:p>
        </w:tc>
      </w:tr>
      <w:tr w14:paraId="01F92A6D">
        <w:tblPrEx>
          <w:tblBorders>
            <w:top w:val="single" w:color="7E7E7E" w:sz="4" w:space="0"/>
            <w:left w:val="none" w:color="auto" w:sz="0" w:space="0"/>
            <w:bottom w:val="single" w:color="7E7E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7" w:type="dxa"/>
            <w:vMerge w:val="continue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633892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 w:val="0"/>
                <w:color w:val="000000"/>
                <w:kern w:val="0"/>
                <w:szCs w:val="21"/>
              </w:rPr>
            </w:pPr>
          </w:p>
        </w:tc>
        <w:tc>
          <w:tcPr>
            <w:tcW w:w="1728" w:type="dxa"/>
            <w:vMerge w:val="continue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574B5B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984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308FD3F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428</w:t>
            </w:r>
            <w:r>
              <w:rPr>
                <w:rStyle w:val="8"/>
                <w:rFonts w:ascii="Times New Roman" w:hAnsi="Times New Roman" w:cs="Times New Roman"/>
              </w:rPr>
              <w:t>.0</w:t>
            </w:r>
          </w:p>
        </w:tc>
        <w:tc>
          <w:tcPr>
            <w:tcW w:w="1474" w:type="dxa"/>
            <w:vMerge w:val="continue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44CEB6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474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5D0CF4D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12</w:t>
            </w:r>
          </w:p>
        </w:tc>
      </w:tr>
    </w:tbl>
    <w:p w14:paraId="74584C11">
      <w:pPr>
        <w:jc w:val="center"/>
        <w:rPr>
          <w:rFonts w:hint="eastAsia" w:ascii="Arial" w:hAnsi="Arial" w:eastAsia="宋体" w:cs="Arial"/>
          <w:sz w:val="24"/>
          <w:lang w:val="en-US" w:eastAsia="zh-CN"/>
        </w:rPr>
      </w:pPr>
      <w:r>
        <w:rPr>
          <w:rFonts w:ascii="Times New Roman" w:hAnsi="Times New Roman" w:eastAsia="宋体" w:cs="Times New Roman"/>
          <w:sz w:val="15"/>
          <w:szCs w:val="15"/>
        </w:rPr>
        <w:t>Note: Use positive ion detection mode; The limit of detection is 0.003 ng</w:t>
      </w:r>
      <w:r>
        <w:rPr>
          <w:rFonts w:hint="eastAsia" w:ascii="Times New Roman" w:hAnsi="Times New Roman" w:eastAsia="宋体" w:cs="Times New Roman"/>
          <w:sz w:val="15"/>
          <w:szCs w:val="15"/>
        </w:rPr>
        <w:t xml:space="preserve"> </w:t>
      </w:r>
      <w:r>
        <w:rPr>
          <w:rFonts w:ascii="Times New Roman" w:hAnsi="Times New Roman" w:eastAsia="宋体" w:cs="Times New Roman"/>
          <w:sz w:val="15"/>
          <w:szCs w:val="15"/>
        </w:rPr>
        <w:t>mL</w:t>
      </w:r>
      <w:r>
        <w:rPr>
          <w:rFonts w:hint="eastAsia" w:ascii="Times New Roman" w:hAnsi="Times New Roman" w:eastAsia="宋体" w:cs="Times New Roman"/>
          <w:sz w:val="15"/>
          <w:szCs w:val="15"/>
          <w:vertAlign w:val="superscript"/>
        </w:rPr>
        <w:t>-1</w:t>
      </w:r>
      <w:r>
        <w:rPr>
          <w:rFonts w:ascii="Times New Roman" w:hAnsi="Times New Roman" w:eastAsia="宋体" w:cs="Times New Roman"/>
          <w:sz w:val="15"/>
          <w:szCs w:val="15"/>
        </w:rPr>
        <w:t>, and the limit of quantification is 0.010 ng</w:t>
      </w:r>
      <w:r>
        <w:rPr>
          <w:rFonts w:hint="eastAsia" w:ascii="Times New Roman" w:hAnsi="Times New Roman" w:eastAsia="宋体" w:cs="Times New Roman"/>
          <w:sz w:val="15"/>
          <w:szCs w:val="15"/>
        </w:rPr>
        <w:t xml:space="preserve"> </w:t>
      </w:r>
      <w:r>
        <w:rPr>
          <w:rFonts w:ascii="Times New Roman" w:hAnsi="Times New Roman" w:eastAsia="宋体" w:cs="Times New Roman"/>
          <w:sz w:val="15"/>
          <w:szCs w:val="15"/>
        </w:rPr>
        <w:t>mL</w:t>
      </w:r>
      <w:r>
        <w:rPr>
          <w:rFonts w:hint="eastAsia" w:ascii="Times New Roman" w:hAnsi="Times New Roman" w:eastAsia="宋体" w:cs="Times New Roman"/>
          <w:sz w:val="15"/>
          <w:szCs w:val="15"/>
          <w:vertAlign w:val="superscript"/>
        </w:rPr>
        <w:t>-1</w:t>
      </w:r>
      <w:r>
        <w:rPr>
          <w:rFonts w:hint="eastAsia" w:ascii="Times New Roman" w:hAnsi="Times New Roman" w:eastAsia="宋体" w:cs="Times New Roman"/>
          <w:sz w:val="15"/>
          <w:szCs w:val="15"/>
          <w:vertAlign w:val="baseline"/>
          <w:lang w:val="en-US" w:eastAsia="zh-CN"/>
        </w:rPr>
        <w:t>.</w:t>
      </w:r>
    </w:p>
    <w:p w14:paraId="0C500F2C">
      <w:pPr>
        <w:rPr>
          <w:rFonts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br w:type="page"/>
      </w:r>
    </w:p>
    <w:p w14:paraId="7B611215">
      <w:pPr>
        <w:tabs>
          <w:tab w:val="left" w:pos="723"/>
        </w:tabs>
        <w:spacing w:line="480" w:lineRule="auto"/>
        <w:jc w:val="center"/>
        <w:rPr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 xml:space="preserve">Table </w:t>
      </w:r>
      <w:r>
        <w:rPr>
          <w:rFonts w:hint="eastAsia" w:ascii="Times New Roman" w:hAnsi="Times New Roman" w:eastAsia="宋体" w:cs="Times New Roman"/>
          <w:b/>
          <w:sz w:val="24"/>
        </w:rPr>
        <w:t>S</w:t>
      </w:r>
      <w:r>
        <w:rPr>
          <w:rFonts w:hint="eastAsia" w:ascii="Times New Roman" w:hAnsi="Times New Roman" w:eastAsia="宋体" w:cs="Times New Roman"/>
          <w:b/>
          <w:sz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Parameters of the modified Gompertz model</w:t>
      </w:r>
      <w:bookmarkEnd w:id="2"/>
    </w:p>
    <w:tbl>
      <w:tblPr>
        <w:tblStyle w:val="11"/>
        <w:tblW w:w="901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2544"/>
        <w:gridCol w:w="2642"/>
        <w:gridCol w:w="1442"/>
        <w:gridCol w:w="1443"/>
      </w:tblGrid>
      <w:tr w14:paraId="4DC21D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BB6099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</w:p>
        </w:tc>
        <w:tc>
          <w:tcPr>
            <w:tcW w:w="2544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73EB5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 xml:space="preserve">Ultimate methane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production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,</w:t>
            </w:r>
          </w:p>
          <w:p w14:paraId="36D9BA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i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UM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P</w:t>
            </w:r>
            <w:r>
              <w:rPr>
                <w:rFonts w:ascii="Times New Roman" w:hAnsi="Times New Roman" w:eastAsia="宋体" w:cs="Times New Roman"/>
                <w:b w:val="0"/>
                <w:bCs w:val="0"/>
                <w:i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(mL g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 xml:space="preserve"> VS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  <w:vertAlign w:val="subscript"/>
              </w:rPr>
              <w:t>add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bscript"/>
              </w:rPr>
              <w:t>ed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)</w:t>
            </w:r>
          </w:p>
        </w:tc>
        <w:tc>
          <w:tcPr>
            <w:tcW w:w="264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4EF813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bookmarkStart w:id="3" w:name="_Hlk93756709"/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 xml:space="preserve">Maximum </w:t>
            </w:r>
            <w:bookmarkEnd w:id="3"/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aily methane production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,</w:t>
            </w:r>
          </w:p>
          <w:p w14:paraId="5E1DCD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/>
                <w:kern w:val="0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bscript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 xml:space="preserve"> (mL g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 xml:space="preserve"> VS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  <w:vertAlign w:val="subscript"/>
              </w:rPr>
              <w:t>add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bscript"/>
              </w:rPr>
              <w:t>ed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 xml:space="preserve"> d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)</w:t>
            </w:r>
          </w:p>
        </w:tc>
        <w:tc>
          <w:tcPr>
            <w:tcW w:w="144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13C36B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黑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0"/>
                <w:szCs w:val="21"/>
              </w:rPr>
              <w:t>Lag phase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,</w:t>
            </w:r>
          </w:p>
          <w:p w14:paraId="405073F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0"/>
                <w:szCs w:val="21"/>
              </w:rPr>
              <w:t xml:space="preserve">λ 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(d)</w:t>
            </w:r>
          </w:p>
        </w:tc>
        <w:tc>
          <w:tcPr>
            <w:tcW w:w="1443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48CD6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  <w:vertAlign w:val="superscript"/>
              </w:rPr>
              <w:t>2</w:t>
            </w:r>
          </w:p>
        </w:tc>
      </w:tr>
      <w:tr w14:paraId="43A8AA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single" w:color="auto" w:sz="4" w:space="0"/>
              <w:bottom w:val="nil"/>
            </w:tcBorders>
          </w:tcPr>
          <w:p w14:paraId="7923E2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A0</w:t>
            </w:r>
          </w:p>
        </w:tc>
        <w:tc>
          <w:tcPr>
            <w:tcW w:w="2544" w:type="dxa"/>
            <w:tcBorders>
              <w:top w:val="single" w:color="auto" w:sz="4" w:space="0"/>
              <w:bottom w:val="nil"/>
            </w:tcBorders>
            <w:vAlign w:val="center"/>
          </w:tcPr>
          <w:p w14:paraId="6F6F7186">
            <w:pPr>
              <w:widowControl/>
              <w:jc w:val="center"/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199.58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3.40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</w:t>
            </w:r>
          </w:p>
        </w:tc>
        <w:tc>
          <w:tcPr>
            <w:tcW w:w="2642" w:type="dxa"/>
            <w:tcBorders>
              <w:top w:val="single" w:color="auto" w:sz="4" w:space="0"/>
              <w:bottom w:val="nil"/>
            </w:tcBorders>
            <w:vAlign w:val="center"/>
          </w:tcPr>
          <w:p w14:paraId="163348D5">
            <w:pPr>
              <w:widowControl/>
              <w:jc w:val="center"/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12.85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0.60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</w:t>
            </w:r>
          </w:p>
        </w:tc>
        <w:tc>
          <w:tcPr>
            <w:tcW w:w="1442" w:type="dxa"/>
            <w:tcBorders>
              <w:top w:val="single" w:color="auto" w:sz="4" w:space="0"/>
              <w:bottom w:val="nil"/>
            </w:tcBorders>
            <w:vAlign w:val="center"/>
          </w:tcPr>
          <w:p w14:paraId="6760EB55">
            <w:pPr>
              <w:widowControl/>
              <w:jc w:val="center"/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0.73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24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bc</w:t>
            </w:r>
          </w:p>
        </w:tc>
        <w:tc>
          <w:tcPr>
            <w:tcW w:w="1443" w:type="dxa"/>
            <w:tcBorders>
              <w:top w:val="single" w:color="auto" w:sz="4" w:space="0"/>
              <w:bottom w:val="nil"/>
            </w:tcBorders>
            <w:vAlign w:val="center"/>
          </w:tcPr>
          <w:p w14:paraId="659FA5E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0.995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000</w:t>
            </w:r>
          </w:p>
        </w:tc>
      </w:tr>
      <w:tr w14:paraId="00E512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nil"/>
              <w:bottom w:val="nil"/>
            </w:tcBorders>
          </w:tcPr>
          <w:p w14:paraId="1375E01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C0</w:t>
            </w:r>
          </w:p>
        </w:tc>
        <w:tc>
          <w:tcPr>
            <w:tcW w:w="2544" w:type="dxa"/>
            <w:tcBorders>
              <w:top w:val="nil"/>
              <w:bottom w:val="nil"/>
            </w:tcBorders>
            <w:vAlign w:val="center"/>
          </w:tcPr>
          <w:p w14:paraId="0D71DC03">
            <w:pPr>
              <w:widowControl/>
              <w:jc w:val="center"/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167.93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12.25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2642" w:type="dxa"/>
            <w:tcBorders>
              <w:top w:val="nil"/>
              <w:bottom w:val="nil"/>
            </w:tcBorders>
            <w:vAlign w:val="center"/>
          </w:tcPr>
          <w:p w14:paraId="435D3A0B">
            <w:pPr>
              <w:widowControl/>
              <w:jc w:val="center"/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11.33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0.13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ab</w:t>
            </w:r>
          </w:p>
        </w:tc>
        <w:tc>
          <w:tcPr>
            <w:tcW w:w="1442" w:type="dxa"/>
            <w:tcBorders>
              <w:top w:val="nil"/>
              <w:bottom w:val="nil"/>
            </w:tcBorders>
            <w:vAlign w:val="center"/>
          </w:tcPr>
          <w:p w14:paraId="1CA1AEA7">
            <w:pPr>
              <w:widowControl/>
              <w:jc w:val="center"/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0.84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18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ab</w:t>
            </w:r>
          </w:p>
        </w:tc>
        <w:tc>
          <w:tcPr>
            <w:tcW w:w="1443" w:type="dxa"/>
            <w:tcBorders>
              <w:top w:val="nil"/>
              <w:bottom w:val="nil"/>
            </w:tcBorders>
            <w:vAlign w:val="center"/>
          </w:tcPr>
          <w:p w14:paraId="5C8E8E7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0.995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002</w:t>
            </w:r>
          </w:p>
        </w:tc>
      </w:tr>
      <w:tr w14:paraId="498520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nil"/>
              <w:bottom w:val="nil"/>
            </w:tcBorders>
          </w:tcPr>
          <w:p w14:paraId="216B7A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A2</w:t>
            </w:r>
          </w:p>
        </w:tc>
        <w:tc>
          <w:tcPr>
            <w:tcW w:w="2544" w:type="dxa"/>
            <w:tcBorders>
              <w:top w:val="nil"/>
              <w:bottom w:val="nil"/>
            </w:tcBorders>
            <w:vAlign w:val="center"/>
          </w:tcPr>
          <w:p w14:paraId="1208263B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170.16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21.59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2642" w:type="dxa"/>
            <w:tcBorders>
              <w:top w:val="nil"/>
              <w:bottom w:val="nil"/>
            </w:tcBorders>
            <w:vAlign w:val="center"/>
          </w:tcPr>
          <w:p w14:paraId="400A66FC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10.96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1.41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ab</w:t>
            </w:r>
          </w:p>
        </w:tc>
        <w:tc>
          <w:tcPr>
            <w:tcW w:w="1442" w:type="dxa"/>
            <w:tcBorders>
              <w:top w:val="nil"/>
              <w:bottom w:val="nil"/>
            </w:tcBorders>
            <w:vAlign w:val="center"/>
          </w:tcPr>
          <w:p w14:paraId="38AB8E12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0.87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11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ab</w:t>
            </w:r>
          </w:p>
        </w:tc>
        <w:tc>
          <w:tcPr>
            <w:tcW w:w="1443" w:type="dxa"/>
            <w:tcBorders>
              <w:top w:val="nil"/>
              <w:bottom w:val="nil"/>
            </w:tcBorders>
            <w:vAlign w:val="center"/>
          </w:tcPr>
          <w:p w14:paraId="1F062CA1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0.995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002</w:t>
            </w:r>
          </w:p>
        </w:tc>
      </w:tr>
      <w:tr w14:paraId="311CBD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nil"/>
              <w:bottom w:val="nil"/>
            </w:tcBorders>
          </w:tcPr>
          <w:p w14:paraId="2DAF87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C2</w:t>
            </w:r>
          </w:p>
        </w:tc>
        <w:tc>
          <w:tcPr>
            <w:tcW w:w="2544" w:type="dxa"/>
            <w:tcBorders>
              <w:top w:val="nil"/>
              <w:bottom w:val="nil"/>
            </w:tcBorders>
            <w:vAlign w:val="center"/>
          </w:tcPr>
          <w:p w14:paraId="65D152B4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153.65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21.14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2642" w:type="dxa"/>
            <w:tcBorders>
              <w:top w:val="nil"/>
              <w:bottom w:val="nil"/>
            </w:tcBorders>
            <w:vAlign w:val="center"/>
          </w:tcPr>
          <w:p w14:paraId="4F7C28ED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10.74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1.45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ab</w:t>
            </w:r>
          </w:p>
        </w:tc>
        <w:tc>
          <w:tcPr>
            <w:tcW w:w="1442" w:type="dxa"/>
            <w:tcBorders>
              <w:top w:val="nil"/>
              <w:bottom w:val="nil"/>
            </w:tcBorders>
            <w:vAlign w:val="center"/>
          </w:tcPr>
          <w:p w14:paraId="43E9DCB6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1.02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14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a</w:t>
            </w:r>
          </w:p>
        </w:tc>
        <w:tc>
          <w:tcPr>
            <w:tcW w:w="1443" w:type="dxa"/>
            <w:tcBorders>
              <w:top w:val="nil"/>
              <w:bottom w:val="nil"/>
            </w:tcBorders>
            <w:vAlign w:val="center"/>
          </w:tcPr>
          <w:p w14:paraId="5F966DE4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0.996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001</w:t>
            </w:r>
          </w:p>
        </w:tc>
      </w:tr>
      <w:tr w14:paraId="651337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nil"/>
              <w:bottom w:val="nil"/>
            </w:tcBorders>
          </w:tcPr>
          <w:p w14:paraId="468AB9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A20</w:t>
            </w:r>
          </w:p>
        </w:tc>
        <w:tc>
          <w:tcPr>
            <w:tcW w:w="2544" w:type="dxa"/>
            <w:tcBorders>
              <w:top w:val="nil"/>
              <w:bottom w:val="nil"/>
            </w:tcBorders>
            <w:vAlign w:val="center"/>
          </w:tcPr>
          <w:p w14:paraId="1AB21CD2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166.30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1.97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2642" w:type="dxa"/>
            <w:tcBorders>
              <w:top w:val="nil"/>
              <w:bottom w:val="nil"/>
            </w:tcBorders>
            <w:vAlign w:val="center"/>
          </w:tcPr>
          <w:p w14:paraId="6803923E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9.90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0.93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1442" w:type="dxa"/>
            <w:tcBorders>
              <w:top w:val="nil"/>
              <w:bottom w:val="nil"/>
            </w:tcBorders>
            <w:vAlign w:val="center"/>
          </w:tcPr>
          <w:p w14:paraId="6964FC5B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0.51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16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c</w:t>
            </w:r>
          </w:p>
        </w:tc>
        <w:tc>
          <w:tcPr>
            <w:tcW w:w="1443" w:type="dxa"/>
            <w:tcBorders>
              <w:top w:val="nil"/>
              <w:bottom w:val="nil"/>
            </w:tcBorders>
            <w:vAlign w:val="center"/>
          </w:tcPr>
          <w:p w14:paraId="7BE68208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0.995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001</w:t>
            </w:r>
          </w:p>
        </w:tc>
      </w:tr>
      <w:tr w14:paraId="22A6A9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Borders>
              <w:top w:val="nil"/>
              <w:bottom w:val="single" w:color="auto" w:sz="12" w:space="0"/>
            </w:tcBorders>
          </w:tcPr>
          <w:p w14:paraId="63CC4ED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</w:rPr>
              <w:t>C20</w:t>
            </w:r>
          </w:p>
        </w:tc>
        <w:tc>
          <w:tcPr>
            <w:tcW w:w="2544" w:type="dxa"/>
            <w:tcBorders>
              <w:top w:val="nil"/>
              <w:bottom w:val="single" w:color="auto" w:sz="12" w:space="0"/>
            </w:tcBorders>
            <w:vAlign w:val="center"/>
          </w:tcPr>
          <w:p w14:paraId="253503E2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146.83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4.03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2642" w:type="dxa"/>
            <w:tcBorders>
              <w:top w:val="nil"/>
              <w:bottom w:val="single" w:color="auto" w:sz="12" w:space="0"/>
            </w:tcBorders>
            <w:vAlign w:val="center"/>
          </w:tcPr>
          <w:p w14:paraId="0A6ADB3D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9.14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1.71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b</w:t>
            </w:r>
          </w:p>
        </w:tc>
        <w:tc>
          <w:tcPr>
            <w:tcW w:w="1442" w:type="dxa"/>
            <w:tcBorders>
              <w:top w:val="nil"/>
              <w:bottom w:val="single" w:color="auto" w:sz="12" w:space="0"/>
            </w:tcBorders>
            <w:vAlign w:val="center"/>
          </w:tcPr>
          <w:p w14:paraId="5F41D69A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0.53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02</w:t>
            </w:r>
            <w:r>
              <w:rPr>
                <w:rFonts w:hint="eastAsia" w:ascii="Times New Roman" w:hAnsi="Times New Roman" w:eastAsia="宋体" w:cs="Times New Roman"/>
                <w:szCs w:val="21"/>
                <w:vertAlign w:val="superscript"/>
              </w:rPr>
              <w:t>c</w:t>
            </w:r>
          </w:p>
        </w:tc>
        <w:tc>
          <w:tcPr>
            <w:tcW w:w="1443" w:type="dxa"/>
            <w:tcBorders>
              <w:top w:val="nil"/>
              <w:bottom w:val="single" w:color="auto" w:sz="12" w:space="0"/>
            </w:tcBorders>
            <w:vAlign w:val="center"/>
          </w:tcPr>
          <w:p w14:paraId="6E75474D">
            <w:pPr>
              <w:widowControl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0.993 </w:t>
            </w:r>
            <w:r>
              <w:rPr>
                <w:rFonts w:ascii="Times New Roman" w:hAnsi="Times New Roman" w:eastAsia="宋体" w:cs="Times New Roman"/>
                <w:szCs w:val="21"/>
              </w:rPr>
              <w:t>±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>0.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002</w:t>
            </w:r>
          </w:p>
        </w:tc>
      </w:tr>
    </w:tbl>
    <w:p w14:paraId="768D540C">
      <w:pPr>
        <w:rPr>
          <w:rFonts w:ascii="Times New Roman" w:hAnsi="Times New Roman" w:eastAsia="宋体" w:cs="Times New Roman"/>
          <w:kern w:val="0"/>
          <w:sz w:val="24"/>
          <w:vertAlign w:val="superscript"/>
          <w:lang w:bidi="ar"/>
        </w:rPr>
      </w:pPr>
      <w:r>
        <w:rPr>
          <w:rFonts w:ascii="Times New Roman" w:hAnsi="Times New Roman" w:eastAsia="CharisSIL" w:cs="Times New Roman"/>
          <w:kern w:val="0"/>
          <w:sz w:val="24"/>
          <w:vertAlign w:val="superscript"/>
          <w:lang w:bidi="ar"/>
        </w:rPr>
        <w:t xml:space="preserve">Note: All values are expressed as mean </w:t>
      </w:r>
      <w:r>
        <w:rPr>
          <w:rFonts w:ascii="Times New Roman" w:hAnsi="Times New Roman" w:eastAsia="TeX_CM_Maths_Symbols" w:cs="Times New Roman"/>
          <w:kern w:val="0"/>
          <w:sz w:val="24"/>
          <w:vertAlign w:val="superscript"/>
          <w:lang w:bidi="ar"/>
        </w:rPr>
        <w:t xml:space="preserve">± </w:t>
      </w:r>
      <w:r>
        <w:rPr>
          <w:rFonts w:ascii="Times New Roman" w:hAnsi="Times New Roman" w:eastAsia="CharisSIL" w:cs="Times New Roman"/>
          <w:kern w:val="0"/>
          <w:sz w:val="24"/>
          <w:vertAlign w:val="superscript"/>
          <w:lang w:bidi="ar"/>
        </w:rPr>
        <w:t xml:space="preserve">standard deviation (n </w:t>
      </w:r>
      <w:r>
        <w:rPr>
          <w:rFonts w:ascii="Times New Roman" w:hAnsi="Times New Roman" w:eastAsia="TeX_CM_Maths_Symbols" w:cs="Times New Roman"/>
          <w:kern w:val="0"/>
          <w:sz w:val="24"/>
          <w:vertAlign w:val="superscript"/>
          <w:lang w:bidi="ar"/>
        </w:rPr>
        <w:t>=</w:t>
      </w:r>
      <w:r>
        <w:rPr>
          <w:rFonts w:ascii="Times New Roman" w:hAnsi="Times New Roman" w:eastAsia="CharisSIL" w:cs="Times New Roman"/>
          <w:kern w:val="0"/>
          <w:sz w:val="24"/>
          <w:vertAlign w:val="superscript"/>
          <w:lang w:bidi="ar"/>
        </w:rPr>
        <w:t>3)</w:t>
      </w:r>
      <w:r>
        <w:rPr>
          <w:rFonts w:hint="eastAsia" w:ascii="Times New Roman" w:hAnsi="Times New Roman" w:eastAsia="宋体" w:cs="Times New Roman"/>
          <w:kern w:val="0"/>
          <w:sz w:val="24"/>
          <w:vertAlign w:val="superscript"/>
          <w:lang w:bidi="ar"/>
        </w:rPr>
        <w:t xml:space="preserve">; a and b were labeled according to Duncan's test. When there were no duplicate labeling symbols between the two groups, they were considered to be significantly different at the </w:t>
      </w:r>
      <w:r>
        <w:rPr>
          <w:rFonts w:hint="eastAsia" w:ascii="Times New Roman" w:hAnsi="Times New Roman" w:eastAsia="宋体" w:cs="Times New Roman"/>
          <w:i/>
          <w:iCs/>
          <w:kern w:val="0"/>
          <w:sz w:val="24"/>
          <w:vertAlign w:val="superscript"/>
          <w:lang w:bidi="ar"/>
        </w:rPr>
        <w:t>p&lt;0.05</w:t>
      </w:r>
      <w:r>
        <w:rPr>
          <w:rFonts w:hint="eastAsia" w:ascii="Times New Roman" w:hAnsi="Times New Roman" w:eastAsia="宋体" w:cs="Times New Roman"/>
          <w:kern w:val="0"/>
          <w:sz w:val="24"/>
          <w:vertAlign w:val="superscript"/>
          <w:lang w:bidi="ar"/>
        </w:rPr>
        <w:t xml:space="preserve"> level.</w:t>
      </w:r>
    </w:p>
    <w:p w14:paraId="728E5CE4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br w:type="page"/>
      </w:r>
    </w:p>
    <w:p w14:paraId="03CDE172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114300" distR="114300">
            <wp:extent cx="5273040" cy="6106160"/>
            <wp:effectExtent l="0" t="0" r="3810" b="8890"/>
            <wp:docPr id="5" name="图片 5" descr="D:/AAA常用/A许梓莹第一波实验/S1.tif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/AAA常用/A许梓莹第一波实验/S1.tifS1"/>
                    <pic:cNvPicPr>
                      <a:picLocks noChangeAspect="1"/>
                    </pic:cNvPicPr>
                  </pic:nvPicPr>
                  <pic:blipFill>
                    <a:blip r:embed="rId4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2B1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</w:rPr>
        <w:t>Fig S1. The pH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</w:rPr>
        <w:t>(a), soluble chemical oxygen demand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</w:rPr>
        <w:t>(b), total ammonia nitrogen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</w:rPr>
        <w:t>(c), and free ammonia nitrogen (d) during anaerobic digestion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32"/>
          <w:lang w:val="en-US" w:eastAsia="zh-CN"/>
        </w:rPr>
        <w:t>.</w:t>
      </w:r>
      <w:r>
        <w:rPr>
          <w:rFonts w:ascii="Times New Roman" w:hAnsi="Times New Roman" w:cs="Times New Roman"/>
          <w:b/>
          <w:bCs/>
          <w:sz w:val="24"/>
          <w:szCs w:val="32"/>
        </w:rPr>
        <w:br w:type="page"/>
      </w:r>
    </w:p>
    <w:p w14:paraId="5EEB66E8">
      <w:pPr>
        <w:rPr>
          <w:rFonts w:ascii="Times New Roman" w:hAnsi="Times New Roman" w:eastAsia="苹方-简" w:cs="Times New Roman"/>
          <w:b/>
          <w:bCs/>
          <w:sz w:val="24"/>
          <w:lang w:bidi="ar"/>
        </w:rPr>
      </w:pPr>
    </w:p>
    <w:p w14:paraId="42F9723E">
      <w:pPr>
        <w:widowControl/>
        <w:jc w:val="center"/>
        <w:rPr>
          <w:rFonts w:hint="eastAsia" w:eastAsia="苹方-简" w:cs="Times New Roman"/>
          <w:b/>
          <w:bCs/>
          <w:lang w:val="en-US" w:eastAsia="zh-CN"/>
        </w:rPr>
      </w:pPr>
      <w:r>
        <w:rPr>
          <w:rFonts w:ascii="Times New Roman" w:hAnsi="Times New Roman" w:eastAsia="苹方-简" w:cs="Times New Roman"/>
          <w:b/>
          <w:bCs/>
          <w:sz w:val="24"/>
          <w:lang w:bidi="ar"/>
        </w:rPr>
        <w:drawing>
          <wp:inline distT="0" distB="0" distL="114300" distR="114300">
            <wp:extent cx="5274310" cy="2153285"/>
            <wp:effectExtent l="0" t="0" r="2540" b="8890"/>
            <wp:docPr id="1" name="图片 1" descr="176459140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45914017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br w:type="textWrapping"/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t>Fig S</w:t>
      </w:r>
      <w:r>
        <w:rPr>
          <w:rFonts w:hint="eastAsia" w:ascii="Times New Roman" w:hAnsi="Times New Roman" w:eastAsia="苹方-简" w:cs="Times New Roman"/>
          <w:b/>
          <w:bCs/>
          <w:sz w:val="24"/>
          <w:lang w:bidi="ar"/>
        </w:rPr>
        <w:t>2.</w:t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t xml:space="preserve"> Principal component analysis of bacteria (a) and archaea</w:t>
      </w:r>
      <w:r>
        <w:rPr>
          <w:rFonts w:hint="eastAsia" w:ascii="Times New Roman" w:hAnsi="Times New Roman" w:eastAsia="苹方-简" w:cs="Times New Roman"/>
          <w:b/>
          <w:bCs/>
          <w:sz w:val="24"/>
          <w:lang w:val="en-US" w:eastAsia="zh-CN" w:bidi="ar"/>
        </w:rPr>
        <w:t xml:space="preserve"> </w:t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t>(b)</w:t>
      </w:r>
      <w:r>
        <w:rPr>
          <w:rFonts w:hint="eastAsia" w:ascii="Times New Roman" w:hAnsi="Times New Roman" w:eastAsia="苹方-简" w:cs="Times New Roman"/>
          <w:b/>
          <w:bCs/>
          <w:sz w:val="24"/>
          <w:lang w:val="en-US" w:eastAsia="zh-CN" w:bidi="ar"/>
        </w:rPr>
        <w:t>.</w:t>
      </w:r>
    </w:p>
    <w:p w14:paraId="0B5A4BAC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4A7A82F">
      <w:pPr>
        <w:rPr>
          <w:rFonts w:ascii="Times New Roman" w:hAnsi="Times New Roman" w:eastAsia="苹方-简" w:cs="Times New Roman"/>
          <w:b/>
          <w:bCs/>
          <w:sz w:val="24"/>
          <w:lang w:bidi="ar"/>
        </w:rPr>
      </w:pPr>
      <w:r>
        <w:rPr>
          <w:rFonts w:ascii="Times New Roman" w:hAnsi="Times New Roman" w:eastAsia="苹方-简" w:cs="Times New Roman"/>
          <w:b/>
          <w:bCs/>
          <w:sz w:val="24"/>
          <w:lang w:bidi="ar"/>
        </w:rPr>
        <w:br w:type="page"/>
      </w:r>
    </w:p>
    <w:p w14:paraId="7ADF9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eastAsia="苹方-简" w:cs="Times New Roman"/>
          <w:b/>
          <w:bCs/>
          <w:sz w:val="24"/>
          <w:lang w:bidi="ar"/>
        </w:rPr>
      </w:pPr>
      <w:r>
        <w:drawing>
          <wp:inline distT="0" distB="0" distL="114300" distR="114300">
            <wp:extent cx="5215890" cy="2983865"/>
            <wp:effectExtent l="0" t="0" r="3810" b="6985"/>
            <wp:docPr id="3" name="图片 2" descr="D:/AAA常用/A许梓莹第一波实验/四环素基因合图.tif四环素基因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D:/AAA常用/A许梓莹第一波实验/四环素基因合图.tif四环素基因合图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E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Times New Roman" w:hAnsi="Times New Roman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FF0000"/>
          <w:sz w:val="24"/>
        </w:rPr>
        <w:t xml:space="preserve">Fig </w:t>
      </w:r>
      <w:r>
        <w:rPr>
          <w:rFonts w:hint="eastAsia" w:ascii="Times New Roman" w:hAnsi="Times New Roman" w:cs="Times New Roman"/>
          <w:b/>
          <w:bCs/>
          <w:color w:val="FF0000"/>
          <w:sz w:val="24"/>
          <w:lang w:val="en-US" w:eastAsia="zh-CN"/>
        </w:rPr>
        <w:t>S3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Changes in the abundance of the major tetracycline resistance genes during anaerobic digestion (Background color: blue-efflux pump genes, yellow-ribosomal protection protein genes, red-enzymatic modification genes)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.</w:t>
      </w:r>
    </w:p>
    <w:p w14:paraId="5BA78E89">
      <w:pPr>
        <w:rPr>
          <w:rFonts w:ascii="Times New Roman" w:hAnsi="Times New Roman" w:eastAsia="苹方-简" w:cs="Times New Roman"/>
          <w:b/>
          <w:bCs/>
          <w:sz w:val="24"/>
          <w:lang w:bidi="ar"/>
        </w:rPr>
      </w:pPr>
      <w:r>
        <w:rPr>
          <w:rFonts w:ascii="Times New Roman" w:hAnsi="Times New Roman" w:eastAsia="苹方-简" w:cs="Times New Roman"/>
          <w:b/>
          <w:bCs/>
          <w:sz w:val="24"/>
          <w:lang w:bidi="ar"/>
        </w:rPr>
        <w:br w:type="page"/>
      </w:r>
    </w:p>
    <w:p w14:paraId="2AE47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Times New Roman" w:hAnsi="Times New Roman" w:eastAsia="苹方-简" w:cs="Times New Roman"/>
          <w:b/>
          <w:bCs/>
          <w:sz w:val="24"/>
          <w:lang w:val="en-US" w:eastAsia="zh-CN" w:bidi="ar"/>
        </w:rPr>
      </w:pPr>
      <w:r>
        <w:rPr>
          <w:rFonts w:ascii="Times New Roman" w:hAnsi="Times New Roman" w:eastAsia="苹方-简" w:cs="Times New Roman"/>
          <w:b/>
          <w:bCs/>
          <w:sz w:val="24"/>
          <w:lang w:bidi="ar"/>
        </w:rPr>
        <w:drawing>
          <wp:inline distT="0" distB="0" distL="114300" distR="114300">
            <wp:extent cx="5273675" cy="2741295"/>
            <wp:effectExtent l="0" t="0" r="3175" b="1905"/>
            <wp:docPr id="2" name="图片 2" descr="176460874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646087420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br w:type="textWrapping"/>
      </w:r>
      <w:r>
        <w:rPr>
          <w:rFonts w:ascii="Times New Roman" w:hAnsi="Times New Roman" w:eastAsia="苹方-简" w:cs="Times New Roman"/>
          <w:b/>
          <w:bCs/>
          <w:color w:val="FF0000"/>
          <w:sz w:val="24"/>
          <w:lang w:bidi="ar"/>
        </w:rPr>
        <w:t>Fig S</w:t>
      </w:r>
      <w:r>
        <w:rPr>
          <w:rFonts w:hint="eastAsia" w:ascii="Times New Roman" w:hAnsi="Times New Roman" w:eastAsia="苹方-简" w:cs="Times New Roman"/>
          <w:b/>
          <w:bCs/>
          <w:color w:val="FF0000"/>
          <w:sz w:val="24"/>
          <w:lang w:val="en-US" w:eastAsia="zh-CN" w:bidi="ar"/>
        </w:rPr>
        <w:t>4</w:t>
      </w:r>
      <w:r>
        <w:rPr>
          <w:rFonts w:hint="eastAsia" w:ascii="Times New Roman" w:hAnsi="Times New Roman" w:eastAsia="苹方-简" w:cs="Times New Roman"/>
          <w:b/>
          <w:bCs/>
          <w:sz w:val="24"/>
          <w:lang w:bidi="ar"/>
        </w:rPr>
        <w:t>.</w:t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t xml:space="preserve"> Heatmap of correlation between tetracycline resistance genes</w:t>
      </w:r>
      <w:r>
        <w:rPr>
          <w:rFonts w:hint="eastAsia" w:ascii="Times New Roman" w:hAnsi="Times New Roman" w:eastAsia="苹方-简" w:cs="Times New Roman"/>
          <w:b/>
          <w:bCs/>
          <w:sz w:val="24"/>
          <w:lang w:val="en-US" w:eastAsia="zh-CN" w:bidi="ar"/>
        </w:rPr>
        <w:t xml:space="preserve"> </w:t>
      </w:r>
      <w:r>
        <w:rPr>
          <w:rFonts w:ascii="Times New Roman" w:hAnsi="Times New Roman" w:eastAsia="苹方-简" w:cs="Times New Roman"/>
          <w:b/>
          <w:bCs/>
          <w:sz w:val="24"/>
          <w:lang w:bidi="ar"/>
        </w:rPr>
        <w:t>and bacteria (a) or archaea (b)</w:t>
      </w:r>
      <w:r>
        <w:rPr>
          <w:rFonts w:hint="eastAsia" w:ascii="Times New Roman" w:hAnsi="Times New Roman" w:eastAsia="苹方-简" w:cs="Times New Roman"/>
          <w:b/>
          <w:bCs/>
          <w:sz w:val="24"/>
          <w:lang w:val="en-US" w:eastAsia="zh-CN" w:bidi="ar"/>
        </w:rPr>
        <w:t>.</w:t>
      </w:r>
    </w:p>
    <w:p w14:paraId="6F2067CF">
      <w:pPr>
        <w:rPr>
          <w:rFonts w:ascii="Times New Roman" w:hAnsi="Times New Roman" w:cs="Times New Roman"/>
          <w:b/>
          <w:bCs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harisSIL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eX_CM_Maths_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3407DB"/>
    <w:rsid w:val="004C5DDE"/>
    <w:rsid w:val="007E6569"/>
    <w:rsid w:val="008C4370"/>
    <w:rsid w:val="009E0E84"/>
    <w:rsid w:val="00DE45CD"/>
    <w:rsid w:val="00EB3C87"/>
    <w:rsid w:val="00EF0724"/>
    <w:rsid w:val="00FF77DF"/>
    <w:rsid w:val="014E5193"/>
    <w:rsid w:val="023C5573"/>
    <w:rsid w:val="02BC54B3"/>
    <w:rsid w:val="02D319D1"/>
    <w:rsid w:val="04155920"/>
    <w:rsid w:val="0737494B"/>
    <w:rsid w:val="0B7F1418"/>
    <w:rsid w:val="0F69595E"/>
    <w:rsid w:val="1065378B"/>
    <w:rsid w:val="11D02E86"/>
    <w:rsid w:val="14B2571D"/>
    <w:rsid w:val="1796589C"/>
    <w:rsid w:val="1A246465"/>
    <w:rsid w:val="1D152095"/>
    <w:rsid w:val="1D272D3F"/>
    <w:rsid w:val="1D8C486A"/>
    <w:rsid w:val="1E3014CF"/>
    <w:rsid w:val="23143199"/>
    <w:rsid w:val="24964B95"/>
    <w:rsid w:val="2C143E7F"/>
    <w:rsid w:val="2F1C5A46"/>
    <w:rsid w:val="2F451529"/>
    <w:rsid w:val="305C0CD1"/>
    <w:rsid w:val="3077202D"/>
    <w:rsid w:val="31122B8C"/>
    <w:rsid w:val="3B8E318D"/>
    <w:rsid w:val="3D940332"/>
    <w:rsid w:val="3F4C6807"/>
    <w:rsid w:val="3F754120"/>
    <w:rsid w:val="3F9D61EE"/>
    <w:rsid w:val="415353B0"/>
    <w:rsid w:val="415D3E87"/>
    <w:rsid w:val="467A57D5"/>
    <w:rsid w:val="47187410"/>
    <w:rsid w:val="48DA01E5"/>
    <w:rsid w:val="4A4A1D9B"/>
    <w:rsid w:val="4AD64775"/>
    <w:rsid w:val="4C96024D"/>
    <w:rsid w:val="4F5D4C2F"/>
    <w:rsid w:val="4F8019EA"/>
    <w:rsid w:val="4FD862EB"/>
    <w:rsid w:val="50105B87"/>
    <w:rsid w:val="503C7A30"/>
    <w:rsid w:val="55162D56"/>
    <w:rsid w:val="579D39BC"/>
    <w:rsid w:val="5B7E78E1"/>
    <w:rsid w:val="5DE9145F"/>
    <w:rsid w:val="5EA8785D"/>
    <w:rsid w:val="5FEA4CC9"/>
    <w:rsid w:val="60537D02"/>
    <w:rsid w:val="67874F0A"/>
    <w:rsid w:val="6D7B5B8E"/>
    <w:rsid w:val="6EF91A35"/>
    <w:rsid w:val="73AE12C3"/>
    <w:rsid w:val="7776C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ascii="宋体" w:hAnsi="宋体" w:eastAsia="宋体" w:cs="Times New Roman"/>
      <w:kern w:val="0"/>
      <w:sz w:val="24"/>
    </w:rPr>
  </w:style>
  <w:style w:type="paragraph" w:styleId="4">
    <w:name w:val="annotation subject"/>
    <w:basedOn w:val="2"/>
    <w:next w:val="2"/>
    <w:link w:val="13"/>
    <w:qFormat/>
    <w:uiPriority w:val="0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nhideWhenUsed/>
    <w:qFormat/>
    <w:uiPriority w:val="99"/>
    <w:rPr>
      <w:sz w:val="21"/>
      <w:szCs w:val="21"/>
    </w:rPr>
  </w:style>
  <w:style w:type="character" w:customStyle="1" w:styleId="9">
    <w:name w:val="列表段落 字符"/>
    <w:basedOn w:val="7"/>
    <w:qFormat/>
    <w:uiPriority w:val="0"/>
    <w:rPr>
      <w:rFonts w:hint="default" w:ascii="Times New Roman" w:hAnsi="Times New Roman" w:eastAsia="Times New Roman" w:cs="Times New Roman"/>
      <w:kern w:val="2"/>
      <w:sz w:val="24"/>
      <w:szCs w:val="22"/>
      <w:lang w:val="en-US"/>
    </w:rPr>
  </w:style>
  <w:style w:type="table" w:customStyle="1" w:styleId="10">
    <w:name w:val="无格式表格 21"/>
    <w:qFormat/>
    <w:uiPriority w:val="42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cPr>
        <w:tcBorders>
          <w:top w:val="single" w:color="7E7E7E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cPr>
        <w:tcBorders>
          <w:top w:val="single" w:color="7E7E7E" w:sz="4" w:space="0"/>
          <w:bottom w:val="single" w:color="7E7E7E" w:sz="4" w:space="0"/>
        </w:tcBorders>
      </w:tcPr>
    </w:tblStylePr>
  </w:style>
  <w:style w:type="table" w:customStyle="1" w:styleId="11">
    <w:name w:val="网格型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批注文字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3">
    <w:name w:val="批注主题 字符"/>
    <w:basedOn w:val="12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table" w:customStyle="1" w:styleId="14">
    <w:name w:val="三线表"/>
    <w:basedOn w:val="5"/>
    <w:qFormat/>
    <w:uiPriority w:val="99"/>
    <w:rPr>
      <w:rFonts w:ascii="Times New Roman" w:hAnsi="Times New Roman" w:eastAsia="宋体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279</Words>
  <Characters>1611</Characters>
  <Lines>27</Lines>
  <Paragraphs>7</Paragraphs>
  <TotalTime>1</TotalTime>
  <ScaleCrop>false</ScaleCrop>
  <LinksUpToDate>false</LinksUpToDate>
  <CharactersWithSpaces>1822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2025-12-01T15:51:00Z</dcterms:created>
  <dc:creator>Cheng Peng</dc:creator>
  <cp:lastModifiedBy>_Carien</cp:lastModifiedBy>
  <dcterms:modified xsi:type="dcterms:W3CDTF">2026-04-01T11:43:40Z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6E33F9BFD7E04124918306899C2D1FF2_13</vt:lpwstr>
  </property>
  <property fmtid="{D5CDD505-2E9C-101B-9397-08002B2CF9AE}" pid="4" name="KSOTemplateDocerSaveRecord">
    <vt:lpwstr>eyJoZGlkIjoiOWJkNWQwNjdmOTUwYzdiMWZlZTQ3ZDY3YmM3ZGE1MGYiLCJ1c2VySWQiOiI0NTc2Mzg3NTYifQ==</vt:lpwstr>
  </property>
</Properties>
</file>