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tiff" ContentType="image/tif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napToGrid w:val="0"/>
        <w:spacing w:line="480" w:lineRule="auto"/>
        <w:rPr>
          <w:rFonts w:hint="default" w:ascii="Times New Roman" w:hAnsi="Times New Roman" w:cs="Times New Roman"/>
          <w:b/>
          <w:sz w:val="30"/>
          <w:szCs w:val="30"/>
        </w:rPr>
      </w:pPr>
      <w:r>
        <w:rPr>
          <w:rFonts w:hint="default" w:ascii="Times New Roman" w:hAnsi="Times New Roman" w:cs="Times New Roman"/>
          <w:b/>
          <w:sz w:val="30"/>
          <w:szCs w:val="30"/>
        </w:rPr>
        <w:t>Supporting Information</w:t>
      </w:r>
    </w:p>
    <w:p>
      <w:pPr>
        <w:pStyle w:val="21"/>
        <w:snapToGrid w:val="0"/>
        <w:spacing w:line="480" w:lineRule="auto"/>
        <w:rPr>
          <w:rFonts w:hint="default" w:ascii="Times New Roman" w:hAnsi="Times New Roman" w:cs="Times New Roman"/>
          <w:b/>
          <w:sz w:val="30"/>
          <w:szCs w:val="30"/>
        </w:rPr>
      </w:pPr>
    </w:p>
    <w:p>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Enhancing hydrolysis acidification process for coal gasification wastewater treatment through micro-aeration strategy: The role of micro-oxygen environment</w:t>
      </w:r>
    </w:p>
    <w:p>
      <w:pPr>
        <w:jc w:val="center"/>
        <w:rPr>
          <w:rFonts w:hint="default" w:ascii="Times New Roman" w:hAnsi="Times New Roman" w:cs="Times New Roman"/>
        </w:rPr>
      </w:pPr>
    </w:p>
    <w:p>
      <w:pPr>
        <w:spacing w:line="360" w:lineRule="auto"/>
        <w:jc w:val="center"/>
        <w:rPr>
          <w:rFonts w:hint="default" w:ascii="Times New Roman" w:hAnsi="Times New Roman" w:cs="Times New Roman"/>
        </w:rPr>
      </w:pPr>
      <w:r>
        <w:rPr>
          <w:rFonts w:hint="default" w:ascii="Times New Roman" w:hAnsi="Times New Roman" w:cs="Times New Roman"/>
        </w:rPr>
        <w:t>Shengqiang Hei</w:t>
      </w:r>
      <w:r>
        <w:rPr>
          <w:rFonts w:hint="default" w:ascii="Times New Roman" w:hAnsi="Times New Roman" w:cs="Times New Roman"/>
          <w:vertAlign w:val="superscript"/>
        </w:rPr>
        <w:t>a, b, §</w:t>
      </w:r>
      <w:r>
        <w:rPr>
          <w:rFonts w:hint="default" w:ascii="Times New Roman" w:hAnsi="Times New Roman" w:cs="Times New Roman"/>
        </w:rPr>
        <w:t>, Biming Liu</w:t>
      </w:r>
      <w:r>
        <w:rPr>
          <w:rFonts w:hint="default" w:ascii="Times New Roman" w:hAnsi="Times New Roman" w:cs="Times New Roman"/>
          <w:vertAlign w:val="superscript"/>
        </w:rPr>
        <w:t>a, c, §,</w:t>
      </w:r>
      <w:r>
        <w:rPr>
          <w:rFonts w:hint="default" w:ascii="Times New Roman" w:hAnsi="Times New Roman" w:cs="Times New Roman"/>
        </w:rPr>
        <w:t xml:space="preserve"> *, Hui Xu</w:t>
      </w:r>
      <w:r>
        <w:rPr>
          <w:rFonts w:hint="default" w:ascii="Times New Roman" w:hAnsi="Times New Roman" w:cs="Times New Roman"/>
          <w:vertAlign w:val="superscript"/>
        </w:rPr>
        <w:t>a</w:t>
      </w:r>
      <w:r>
        <w:rPr>
          <w:rFonts w:hint="default" w:ascii="Times New Roman" w:hAnsi="Times New Roman" w:cs="Times New Roman"/>
        </w:rPr>
        <w:t>, Xing Lu</w:t>
      </w:r>
      <w:r>
        <w:rPr>
          <w:rFonts w:hint="default" w:ascii="Times New Roman" w:hAnsi="Times New Roman" w:cs="Times New Roman"/>
          <w:vertAlign w:val="superscript"/>
        </w:rPr>
        <w:t>d</w:t>
      </w:r>
      <w:r>
        <w:rPr>
          <w:rFonts w:hint="default" w:ascii="Times New Roman" w:hAnsi="Times New Roman" w:cs="Times New Roman"/>
        </w:rPr>
        <w:t>, Xinrui Guo</w:t>
      </w:r>
      <w:r>
        <w:rPr>
          <w:rFonts w:hint="default" w:ascii="Times New Roman" w:hAnsi="Times New Roman" w:cs="Times New Roman"/>
          <w:vertAlign w:val="superscript"/>
        </w:rPr>
        <w:t>d</w:t>
      </w:r>
      <w:r>
        <w:rPr>
          <w:rFonts w:hint="default" w:ascii="Times New Roman" w:hAnsi="Times New Roman" w:cs="Times New Roman"/>
        </w:rPr>
        <w:t>,</w:t>
      </w:r>
    </w:p>
    <w:p>
      <w:pPr>
        <w:spacing w:line="360" w:lineRule="auto"/>
        <w:jc w:val="center"/>
        <w:rPr>
          <w:rFonts w:hint="default" w:ascii="Times New Roman" w:hAnsi="Times New Roman" w:cs="Times New Roman"/>
        </w:rPr>
      </w:pPr>
      <w:r>
        <w:rPr>
          <w:rFonts w:hint="default" w:ascii="Times New Roman" w:hAnsi="Times New Roman" w:cs="Times New Roman"/>
        </w:rPr>
        <w:t xml:space="preserve"> Danyang Li</w:t>
      </w:r>
      <w:r>
        <w:rPr>
          <w:rFonts w:hint="default" w:ascii="Times New Roman" w:hAnsi="Times New Roman" w:cs="Times New Roman"/>
          <w:vertAlign w:val="superscript"/>
        </w:rPr>
        <w:t>a</w:t>
      </w:r>
      <w:r>
        <w:rPr>
          <w:rFonts w:hint="default" w:ascii="Times New Roman" w:hAnsi="Times New Roman" w:cs="Times New Roman"/>
        </w:rPr>
        <w:t>, Shuo Zhang</w:t>
      </w:r>
      <w:r>
        <w:rPr>
          <w:rFonts w:hint="default" w:ascii="Times New Roman" w:hAnsi="Times New Roman" w:cs="Times New Roman"/>
          <w:vertAlign w:val="superscript"/>
        </w:rPr>
        <w:t>a</w:t>
      </w:r>
      <w:r>
        <w:rPr>
          <w:rFonts w:hint="default" w:ascii="Times New Roman" w:hAnsi="Times New Roman" w:cs="Times New Roman"/>
        </w:rPr>
        <w:t>, Xia Huang</w:t>
      </w:r>
      <w:r>
        <w:rPr>
          <w:rFonts w:hint="default" w:ascii="Times New Roman" w:hAnsi="Times New Roman" w:cs="Times New Roman"/>
          <w:vertAlign w:val="superscript"/>
        </w:rPr>
        <w:t xml:space="preserve">a, </w:t>
      </w:r>
      <w:r>
        <w:rPr>
          <w:rFonts w:hint="default" w:ascii="Times New Roman" w:hAnsi="Times New Roman" w:cs="Times New Roman"/>
        </w:rPr>
        <w:t>*</w:t>
      </w:r>
    </w:p>
    <w:p>
      <w:pPr>
        <w:spacing w:line="360" w:lineRule="auto"/>
        <w:rPr>
          <w:rFonts w:hint="default" w:ascii="Times New Roman" w:hAnsi="Times New Roman" w:cs="Times New Roman"/>
        </w:rPr>
      </w:pPr>
    </w:p>
    <w:p>
      <w:pPr>
        <w:spacing w:line="360" w:lineRule="auto"/>
        <w:rPr>
          <w:rFonts w:hint="default" w:ascii="Times New Roman" w:hAnsi="Times New Roman" w:cs="Times New Roman"/>
          <w:i/>
          <w:iCs/>
          <w:szCs w:val="21"/>
        </w:rPr>
      </w:pPr>
      <w:r>
        <w:rPr>
          <w:rFonts w:hint="default" w:ascii="Times New Roman" w:hAnsi="Times New Roman" w:eastAsia="宋体" w:cs="Times New Roman"/>
          <w:i/>
          <w:iCs/>
          <w:color w:val="000000"/>
          <w:szCs w:val="21"/>
          <w:vertAlign w:val="superscript"/>
          <w:lang w:bidi="ar"/>
        </w:rPr>
        <w:t>a</w:t>
      </w:r>
      <w:r>
        <w:rPr>
          <w:rFonts w:hint="default" w:ascii="Times New Roman" w:hAnsi="Times New Roman" w:eastAsia="宋体" w:cs="Times New Roman"/>
          <w:i/>
          <w:iCs/>
          <w:color w:val="000000"/>
          <w:szCs w:val="21"/>
          <w:lang w:bidi="ar"/>
        </w:rPr>
        <w:t xml:space="preserve"> </w:t>
      </w:r>
      <w:r>
        <w:rPr>
          <w:rFonts w:hint="default" w:ascii="Times New Roman" w:hAnsi="Times New Roman" w:eastAsia="宋体" w:cs="Times New Roman"/>
          <w:i/>
          <w:iCs/>
          <w:szCs w:val="21"/>
          <w:lang w:bidi="ar"/>
        </w:rPr>
        <w:t>State Key Laboratory of Regional Environment and Sustainability, School of Environment, Tsinghua University, Beijing 100084, China</w:t>
      </w:r>
    </w:p>
    <w:p>
      <w:pPr>
        <w:spacing w:line="360" w:lineRule="auto"/>
        <w:rPr>
          <w:rFonts w:hint="default" w:ascii="Times New Roman" w:hAnsi="Times New Roman" w:cs="Times New Roman"/>
          <w:i/>
          <w:iCs/>
          <w:szCs w:val="21"/>
        </w:rPr>
      </w:pPr>
      <w:r>
        <w:rPr>
          <w:rFonts w:hint="default" w:ascii="Times New Roman" w:hAnsi="Times New Roman" w:eastAsia="宋体" w:cs="Times New Roman"/>
          <w:i/>
          <w:iCs/>
          <w:szCs w:val="21"/>
          <w:vertAlign w:val="superscript"/>
          <w:lang w:bidi="ar"/>
        </w:rPr>
        <w:t>b</w:t>
      </w:r>
      <w:r>
        <w:rPr>
          <w:rFonts w:hint="default" w:ascii="Times New Roman" w:hAnsi="Times New Roman" w:eastAsia="宋体" w:cs="Times New Roman"/>
          <w:i/>
          <w:iCs/>
          <w:szCs w:val="21"/>
          <w:lang w:bidi="ar"/>
        </w:rPr>
        <w:t xml:space="preserve"> School of Geography and Planning, Ningxia University, Yinchuan 750021, China</w:t>
      </w:r>
    </w:p>
    <w:p>
      <w:pPr>
        <w:spacing w:line="360" w:lineRule="auto"/>
        <w:rPr>
          <w:rFonts w:hint="default" w:ascii="Times New Roman" w:hAnsi="Times New Roman" w:cs="Times New Roman"/>
          <w:i/>
          <w:iCs/>
          <w:szCs w:val="21"/>
        </w:rPr>
      </w:pPr>
      <w:r>
        <w:rPr>
          <w:rFonts w:hint="default" w:ascii="Times New Roman" w:hAnsi="Times New Roman" w:eastAsia="宋体" w:cs="Times New Roman"/>
          <w:i/>
          <w:iCs/>
          <w:szCs w:val="21"/>
          <w:vertAlign w:val="superscript"/>
          <w:lang w:bidi="ar"/>
        </w:rPr>
        <w:t>c</w:t>
      </w:r>
      <w:r>
        <w:rPr>
          <w:rFonts w:hint="default" w:ascii="Times New Roman" w:hAnsi="Times New Roman" w:eastAsia="宋体" w:cs="Times New Roman"/>
          <w:i/>
          <w:iCs/>
          <w:szCs w:val="21"/>
          <w:lang w:bidi="ar"/>
        </w:rPr>
        <w:t xml:space="preserve"> School of Energy and Environment, Anhui University of Technology, Ma Anshan 243002, China</w:t>
      </w:r>
    </w:p>
    <w:p>
      <w:pPr>
        <w:spacing w:line="360" w:lineRule="auto"/>
        <w:rPr>
          <w:rFonts w:hint="default" w:ascii="Times New Roman" w:hAnsi="Times New Roman" w:cs="Times New Roman"/>
          <w:i/>
          <w:iCs/>
          <w:szCs w:val="21"/>
        </w:rPr>
      </w:pPr>
      <w:r>
        <w:rPr>
          <w:rFonts w:hint="default" w:ascii="Times New Roman" w:hAnsi="Times New Roman" w:eastAsia="宋体" w:cs="Times New Roman"/>
          <w:i/>
          <w:iCs/>
          <w:color w:val="000000"/>
          <w:szCs w:val="21"/>
          <w:vertAlign w:val="superscript"/>
          <w:lang w:bidi="ar"/>
        </w:rPr>
        <w:t>d</w:t>
      </w:r>
      <w:r>
        <w:rPr>
          <w:rFonts w:hint="default" w:ascii="Times New Roman" w:hAnsi="Times New Roman" w:eastAsia="宋体" w:cs="Times New Roman"/>
          <w:i/>
          <w:iCs/>
          <w:color w:val="000000"/>
          <w:szCs w:val="21"/>
          <w:lang w:bidi="ar"/>
        </w:rPr>
        <w:t xml:space="preserve"> </w:t>
      </w:r>
      <w:r>
        <w:rPr>
          <w:rFonts w:hint="default" w:ascii="Times New Roman" w:hAnsi="Times New Roman" w:eastAsia="宋体" w:cs="Times New Roman"/>
          <w:i/>
          <w:iCs/>
          <w:szCs w:val="21"/>
          <w:lang w:bidi="ar"/>
        </w:rPr>
        <w:t>School of Environmental Sciences and Engineering, Nanjing Tech University, Nanjing 211800, China</w:t>
      </w:r>
    </w:p>
    <w:p>
      <w:pPr>
        <w:spacing w:line="480" w:lineRule="auto"/>
        <w:rPr>
          <w:rFonts w:hint="default" w:ascii="Times New Roman" w:hAnsi="Times New Roman" w:cs="Times New Roman"/>
          <w:vertAlign w:val="superscript"/>
        </w:rPr>
      </w:pPr>
    </w:p>
    <w:p>
      <w:pPr>
        <w:spacing w:line="480" w:lineRule="auto"/>
        <w:rPr>
          <w:rFonts w:hint="default" w:ascii="Times New Roman" w:hAnsi="Times New Roman" w:cs="Times New Roman"/>
        </w:rPr>
      </w:pPr>
      <w:r>
        <w:rPr>
          <w:rFonts w:hint="default" w:ascii="Times New Roman" w:hAnsi="Times New Roman" w:cs="Times New Roman"/>
        </w:rPr>
        <w:t xml:space="preserve">Correspondence to: Biming Liu (E-mail: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"mailto:sunyongjun@njtech.edu.cn" </w:instrText>
      </w:r>
      <w:r>
        <w:rPr>
          <w:rFonts w:hint="default" w:ascii="Times New Roman" w:hAnsi="Times New Roman" w:cs="Times New Roman"/>
        </w:rPr>
        <w:fldChar w:fldCharType="separate"/>
      </w:r>
      <w:r>
        <w:rPr>
          <w:rStyle w:val="11"/>
          <w:rFonts w:hint="default" w:ascii="Times New Roman" w:hAnsi="Times New Roman" w:cs="Times New Roman"/>
        </w:rPr>
        <w:t>bimingliu@1</w:t>
      </w:r>
      <w:r>
        <w:rPr>
          <w:rStyle w:val="11"/>
          <w:rFonts w:hint="default" w:ascii="Times New Roman" w:hAnsi="Times New Roman" w:cs="Times New Roman"/>
        </w:rPr>
        <w:fldChar w:fldCharType="end"/>
      </w:r>
      <w:r>
        <w:rPr>
          <w:rStyle w:val="11"/>
          <w:rFonts w:hint="default" w:ascii="Times New Roman" w:hAnsi="Times New Roman" w:cs="Times New Roman"/>
        </w:rPr>
        <w:t>63.com</w:t>
      </w:r>
      <w:r>
        <w:rPr>
          <w:rFonts w:hint="default" w:ascii="Times New Roman" w:hAnsi="Times New Roman" w:cs="Times New Roman"/>
        </w:rPr>
        <w:t xml:space="preserve">), </w:t>
      </w:r>
      <w:r>
        <w:rPr>
          <w:rFonts w:hint="default" w:ascii="Times New Roman" w:hAnsi="Times New Roman" w:eastAsia="方正仿宋_GBK" w:cs="Times New Roman"/>
          <w:bCs/>
        </w:rPr>
        <w:t>Xia Huang</w:t>
      </w:r>
      <w:r>
        <w:rPr>
          <w:rFonts w:hint="default" w:ascii="Times New Roman" w:hAnsi="Times New Roman" w:cs="Times New Roman"/>
        </w:rPr>
        <w:t xml:space="preserve"> (E-mail: </w:t>
      </w:r>
      <w:r>
        <w:rPr>
          <w:rFonts w:hint="default" w:ascii="Times New Roman" w:hAnsi="Times New Roman" w:cs="Times New Roman"/>
        </w:rPr>
        <w:fldChar w:fldCharType="begin"/>
      </w:r>
      <w:r>
        <w:rPr>
          <w:rFonts w:hint="default" w:ascii="Times New Roman" w:hAnsi="Times New Roman" w:cs="Times New Roman"/>
        </w:rPr>
        <w:instrText xml:space="preserve"> HYPERLINK "mailto:sunadnmoon19960203@163.com" </w:instrText>
      </w:r>
      <w:r>
        <w:rPr>
          <w:rFonts w:hint="default" w:ascii="Times New Roman" w:hAnsi="Times New Roman" w:cs="Times New Roman"/>
        </w:rPr>
        <w:fldChar w:fldCharType="separate"/>
      </w:r>
      <w:r>
        <w:rPr>
          <w:rStyle w:val="11"/>
          <w:rFonts w:hint="default" w:ascii="Times New Roman" w:hAnsi="Times New Roman" w:cs="Times New Roman"/>
          <w:kern w:val="0"/>
        </w:rPr>
        <w:t>xhuang@tsinghua.edu</w:t>
      </w:r>
      <w:r>
        <w:rPr>
          <w:rStyle w:val="11"/>
          <w:rFonts w:hint="default" w:ascii="Times New Roman" w:hAnsi="Times New Roman" w:cs="Times New Roman"/>
          <w:kern w:val="0"/>
        </w:rPr>
        <w:fldChar w:fldCharType="end"/>
      </w:r>
      <w:r>
        <w:rPr>
          <w:rStyle w:val="11"/>
          <w:rFonts w:hint="default" w:ascii="Times New Roman" w:hAnsi="Times New Roman" w:cs="Times New Roman"/>
          <w:kern w:val="0"/>
        </w:rPr>
        <w:t>.cn</w:t>
      </w:r>
      <w:r>
        <w:rPr>
          <w:rFonts w:hint="default" w:ascii="Times New Roman" w:hAnsi="Times New Roman" w:cs="Times New Roman"/>
        </w:rPr>
        <w:t>)</w:t>
      </w:r>
    </w:p>
    <w:p>
      <w:pPr>
        <w:tabs>
          <w:tab w:val="left" w:pos="3780"/>
        </w:tabs>
        <w:jc w:val="center"/>
        <w:rPr>
          <w:rFonts w:hint="default" w:ascii="Times New Roman" w:hAnsi="Times New Roman" w:cs="Times New Roman"/>
          <w:b/>
          <w:bCs/>
          <w:szCs w:val="21"/>
        </w:rPr>
      </w:pPr>
    </w:p>
    <w:p>
      <w:pPr>
        <w:tabs>
          <w:tab w:val="left" w:pos="3780"/>
        </w:tabs>
        <w:jc w:val="center"/>
        <w:rPr>
          <w:rFonts w:hint="default" w:ascii="Times New Roman" w:hAnsi="Times New Roman" w:cs="Times New Roman"/>
          <w:b/>
          <w:bCs/>
          <w:szCs w:val="21"/>
        </w:rPr>
      </w:pPr>
    </w:p>
    <w:p>
      <w:pPr>
        <w:rPr>
          <w:rFonts w:hint="default" w:ascii="Times New Roman" w:hAnsi="Times New Roman" w:cs="Times New Roman"/>
          <w:b/>
          <w:bCs/>
          <w:szCs w:val="21"/>
        </w:rPr>
      </w:pPr>
      <w:r>
        <w:rPr>
          <w:rFonts w:hint="default" w:ascii="Times New Roman" w:hAnsi="Times New Roman" w:cs="Times New Roman"/>
          <w:szCs w:val="21"/>
          <w:vertAlign w:val="superscript"/>
        </w:rPr>
        <w:t>§</w:t>
      </w:r>
      <w:r>
        <w:rPr>
          <w:rFonts w:hint="default" w:ascii="Times New Roman" w:hAnsi="Times New Roman" w:cs="Times New Roman"/>
          <w:szCs w:val="21"/>
        </w:rPr>
        <w:t>These authors contributed equally to this work.</w:t>
      </w:r>
      <w:r>
        <w:rPr>
          <w:rFonts w:hint="default" w:ascii="Times New Roman" w:hAnsi="Times New Roman" w:cs="Times New Roman"/>
          <w:b/>
          <w:bCs/>
          <w:szCs w:val="21"/>
        </w:rPr>
        <w:br w:type="page"/>
      </w:r>
    </w:p>
    <w:p>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Appendix Text S1:</w:t>
      </w:r>
    </w:p>
    <w:p>
      <w:pPr>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The aerobic degradation performance of wastewater was evaluated in the long-term batch mode. 1 L of CGW and other effluents were added to the beaker, respectively, followed by the actual aerobic tank sludge (5 g/L). The DO of system was 3~4 mg/L, and the gas volume was controlled by the flowmeter. Each period was divided into aeration (36 h), sedimentation (2 h) and drainage (0.5 h), and the wastewater was supplemented to 2 L to restart the next period. The COD of water samples during different periods was determined after filtration.</w:t>
      </w:r>
    </w:p>
    <w:p>
      <w:pPr>
        <w:spacing w:line="360" w:lineRule="auto"/>
        <w:ind w:firstLine="420" w:firstLineChars="200"/>
        <w:rPr>
          <w:rFonts w:hint="default" w:ascii="Times New Roman" w:hAnsi="Times New Roman" w:eastAsia="宋体" w:cs="Times New Roman"/>
          <w:color w:val="FF0000"/>
          <w:highlight w:val="none"/>
        </w:rPr>
      </w:pPr>
      <w:r>
        <w:rPr>
          <w:rFonts w:hint="default" w:ascii="Times New Roman" w:hAnsi="Times New Roman" w:eastAsia="宋体" w:cs="Times New Roman"/>
          <w:color w:val="FF0000"/>
          <w:highlight w:val="none"/>
        </w:rPr>
        <w:t>The CGW degradation performance of anaerobic sludge was also evaluated in a long-term batch mode at different DO concentrations. 1 L of CGW and 6 g/L of domesticated anaerobic sludge were added to the open reagent bottle (2.5 L), and then placed in a thermostatic shaker at 35 °C and 100 rpm. Gas flow was regulated by a flow meter, and DO levels (0-0.1, 0.1-0.2, 0.2-0.3, 0.3-0.5, 0.5-0.8, and 0.8-1 mg/L) were monitored and adjusted every 3-4 h using a DO meter (HQ30d, Hach, USA). The HRT was maintained at 36 h. The supernatant was taken every 2 d and filtered through the membrane (0.45 μm) for the detection of COD and BOD</w:t>
      </w:r>
      <w:r>
        <w:rPr>
          <w:rFonts w:hint="default" w:ascii="Times New Roman" w:hAnsi="Times New Roman" w:eastAsia="宋体" w:cs="Times New Roman"/>
          <w:color w:val="FF0000"/>
          <w:highlight w:val="none"/>
          <w:vertAlign w:val="subscript"/>
        </w:rPr>
        <w:t>5</w:t>
      </w:r>
      <w:r>
        <w:rPr>
          <w:rFonts w:hint="default" w:ascii="Times New Roman" w:hAnsi="Times New Roman" w:eastAsia="宋体" w:cs="Times New Roman"/>
          <w:color w:val="FF0000"/>
          <w:highlight w:val="none"/>
        </w:rPr>
        <w:t>.</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br w:type="page"/>
      </w:r>
    </w:p>
    <w:p>
      <w:pPr>
        <w:spacing w:line="360" w:lineRule="auto"/>
        <w:rPr>
          <w:rFonts w:hint="default" w:ascii="Times New Roman" w:hAnsi="Times New Roman" w:eastAsia="宋体" w:cs="Times New Roman"/>
        </w:rPr>
      </w:pPr>
      <w:r>
        <w:rPr>
          <w:rFonts w:hint="default" w:ascii="Times New Roman" w:hAnsi="Times New Roman" w:cs="Times New Roman"/>
          <w:b/>
          <w:bCs/>
          <w:sz w:val="24"/>
          <w:szCs w:val="24"/>
        </w:rPr>
        <w:t>Appendix</w:t>
      </w:r>
      <w:r>
        <w:rPr>
          <w:rFonts w:hint="default" w:ascii="Times New Roman" w:hAnsi="Times New Roman" w:cs="Times New Roman"/>
          <w:b/>
          <w:bCs/>
          <w:color w:val="FF0000"/>
          <w:sz w:val="24"/>
          <w:szCs w:val="24"/>
          <w:highlight w:val="none"/>
        </w:rPr>
        <w:t xml:space="preserve"> Text S2:</w:t>
      </w:r>
    </w:p>
    <w:p>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OUR test adopted aerobic sludge sourced from a municipal WWTP, which was washed 3-4 times with distilled water before use. The total volume of test was 20 mL. The test group comprised 8 mL of sludge (4 g/L), 10 mL of water sample, 1 mL of nutrient </w:t>
      </w:r>
      <w:bookmarkStart w:id="0" w:name="OLE_LINK3"/>
      <w:r>
        <w:rPr>
          <w:rFonts w:hint="default" w:ascii="Times New Roman" w:hAnsi="Times New Roman" w:eastAsia="宋体" w:cs="Times New Roman"/>
        </w:rPr>
        <w:t>medium</w:t>
      </w:r>
      <w:bookmarkEnd w:id="0"/>
      <w:r>
        <w:rPr>
          <w:rFonts w:hint="default" w:ascii="Times New Roman" w:hAnsi="Times New Roman" w:eastAsia="宋体" w:cs="Times New Roman"/>
        </w:rPr>
        <w:t xml:space="preserve"> (as detailed in the Table S2) and 1 mL of deionized water. In contrast, the control group contained 8 mL of sludge (4 g/L), 1 mL of nutrient matrix and 11 mL of deionized water. Initially, the water samples were vigorously agitated in a high-speed magnetic stirrer for 1-2 h until DO achieved saturation. Furthermore, the deionized water, sludge, and nutrient medium were rapidly blended and aerated for 30 min until DO reached saturation. It is noteworthy that the DO concentration was monitored at 10 s intervals until it descended below 0.5 mg/L. Prior to the sample assessment, 3,5-dichlorophenol was employed as a standard toxin (EC</w:t>
      </w:r>
      <w:r>
        <w:rPr>
          <w:rFonts w:hint="default" w:ascii="Times New Roman" w:hAnsi="Times New Roman" w:eastAsia="宋体" w:cs="Times New Roman"/>
          <w:vertAlign w:val="subscript"/>
        </w:rPr>
        <w:t>50</w:t>
      </w:r>
      <w:r>
        <w:rPr>
          <w:rFonts w:hint="default" w:ascii="Times New Roman" w:hAnsi="Times New Roman" w:eastAsia="宋体" w:cs="Times New Roman"/>
        </w:rPr>
        <w:t xml:space="preserve">: 2-25 mg/L) to ascertain the sensitivity of sludge. The method of testing for heterotrophic bacteria OUR is the same as that for total OUR, and 1 mL ATU (232 mg/L of propylene sulfur) was added to the experimental group before testing. Subsequently, nitrifying bacteria OUR was calculated as the difference between total OUR and heterotrophic bacteria OUR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ADDIN EN.CITE &lt;EndNote&gt;&lt;Cite&gt;&lt;Author&gt;Hei&lt;/Author&gt;&lt;Year&gt;2022&lt;/Year&gt;&lt;RecNum&gt;1145&lt;/RecNum&gt;&lt;DisplayText&gt;(Hei et al. 2022)&lt;/DisplayText&gt;&lt;record&gt;&lt;rec-number&gt;1145&lt;/rec-number&gt;&lt;foreign-keys&gt;&lt;key app="EN" db-id="fssxp0t0q05tzpepfpxpr0r95wadvrrprarp" timestamp="1697557209"&gt;1145&lt;/key&gt;&lt;/foreign-keys&gt;&lt;ref-type name="Journal Article"&gt;17&lt;/ref-type&gt;&lt;contributors&gt;&lt;authors&gt;&lt;author&gt;Hei, S. Q.&lt;/author&gt;&lt;author&gt;Xu, H.&lt;/author&gt;&lt;author&gt;Liu, B. M.&lt;/author&gt;&lt;author&gt;Zhu, X. Z.&lt;/author&gt;&lt;author&gt;Zhang, S.&lt;/author&gt;&lt;author&gt;Zhang, X.&lt;/author&gt;&lt;author&gt;Li, R. W.&lt;/author&gt;&lt;author&gt;Huang, X.&lt;/author&gt;&lt;/authors&gt;&lt;/contributors&gt;&lt;titles&gt;&lt;title&gt;Enhanced pre-treatment of sepiolite on coal gasification wastewater: Performance and adsorption mechanism&lt;/title&gt;&lt;secondary-title&gt;Journal of Hazardous Materials&lt;/secondary-title&gt;&lt;/titles&gt;&lt;periodical&gt;&lt;full-title&gt;Journal of Hazardous Materials&lt;/full-title&gt;&lt;/periodical&gt;&lt;pages&gt;129842&lt;/pages&gt;&lt;volume&gt;440&lt;/volume&gt;&lt;dates&gt;&lt;year&gt;2022&lt;/year&gt;&lt;pub-dates&gt;&lt;date&gt;Oct&lt;/date&gt;&lt;/pub-dates&gt;&lt;/dates&gt;&lt;isbn&gt;0304-3894&lt;/isbn&gt;&lt;accession-num&gt;WOS:000856858100004&lt;/accession-num&gt;&lt;urls&gt;&lt;related-urls&gt;&lt;url&gt;&amp;lt;Go to ISI&amp;gt;://WOS:000856858100004&lt;/url&gt;&lt;/related-urls&gt;&lt;/urls&gt;&lt;custom7&gt;129842&lt;/custom7&gt;&lt;electronic-resource-num&gt;10.1016/j.jhazmat.2022.129842&lt;/electronic-resource-num&gt;&lt;/record&gt;&lt;/Cite&gt;&lt;/EndNote&gt;</w:instrText>
      </w:r>
      <w:r>
        <w:rPr>
          <w:rFonts w:hint="default" w:ascii="Times New Roman" w:hAnsi="Times New Roman" w:eastAsia="宋体" w:cs="Times New Roman"/>
        </w:rPr>
        <w:fldChar w:fldCharType="separate"/>
      </w:r>
      <w:r>
        <w:rPr>
          <w:rFonts w:hint="default" w:ascii="Times New Roman" w:hAnsi="Times New Roman" w:eastAsia="宋体" w:cs="Times New Roman"/>
        </w:rPr>
        <w:t>(Hei et al. 2022)</w:t>
      </w:r>
      <w:r>
        <w:rPr>
          <w:rFonts w:hint="default" w:ascii="Times New Roman" w:hAnsi="Times New Roman" w:eastAsia="宋体" w:cs="Times New Roman"/>
        </w:rPr>
        <w:fldChar w:fldCharType="end"/>
      </w:r>
      <w:r>
        <w:rPr>
          <w:rFonts w:hint="default" w:ascii="Times New Roman" w:hAnsi="Times New Roman" w:eastAsia="宋体" w:cs="Times New Roman"/>
        </w:rPr>
        <w:t xml:space="preserve">. </w:t>
      </w:r>
    </w:p>
    <w:p>
      <w:pPr>
        <w:widowControl/>
        <w:jc w:val="left"/>
        <w:rPr>
          <w:rFonts w:hint="default" w:ascii="Times New Roman" w:hAnsi="Times New Roman" w:cs="Times New Roman"/>
          <w:szCs w:val="21"/>
        </w:rPr>
      </w:pPr>
      <w:r>
        <w:rPr>
          <w:rFonts w:hint="default" w:ascii="Times New Roman" w:hAnsi="Times New Roman" w:cs="Times New Roman"/>
          <w:szCs w:val="21"/>
        </w:rPr>
        <w:br w:type="page"/>
      </w:r>
    </w:p>
    <w:p>
      <w:pPr>
        <w:spacing w:line="360" w:lineRule="auto"/>
        <w:rPr>
          <w:rFonts w:hint="default" w:ascii="Times New Roman" w:hAnsi="Times New Roman" w:cs="Times New Roman"/>
          <w:b/>
          <w:bCs/>
          <w:sz w:val="24"/>
          <w:szCs w:val="24"/>
        </w:rPr>
      </w:pPr>
      <w:r>
        <w:rPr>
          <w:rFonts w:hint="default" w:ascii="Times New Roman" w:hAnsi="Times New Roman" w:cs="Times New Roman"/>
          <w:b/>
          <w:color w:val="000000"/>
          <w:sz w:val="24"/>
          <w:szCs w:val="24"/>
        </w:rPr>
        <w:t>Appendix</w:t>
      </w:r>
      <w:r>
        <w:rPr>
          <w:rFonts w:hint="default" w:ascii="Times New Roman" w:hAnsi="Times New Roman" w:cs="Times New Roman"/>
          <w:b/>
          <w:bCs/>
          <w:sz w:val="24"/>
          <w:szCs w:val="24"/>
        </w:rPr>
        <w:t xml:space="preserve"> </w:t>
      </w:r>
      <w:r>
        <w:rPr>
          <w:rFonts w:hint="default" w:ascii="Times New Roman" w:hAnsi="Times New Roman" w:cs="Times New Roman"/>
          <w:b/>
          <w:bCs/>
          <w:color w:val="FF0000"/>
          <w:sz w:val="24"/>
          <w:szCs w:val="24"/>
          <w:highlight w:val="none"/>
        </w:rPr>
        <w:t>Text S3:</w:t>
      </w:r>
    </w:p>
    <w:p>
      <w:pPr>
        <w:spacing w:line="360" w:lineRule="auto"/>
        <w:ind w:firstLine="420"/>
        <w:rPr>
          <w:rFonts w:hint="default" w:ascii="Times New Roman" w:hAnsi="Times New Roman" w:eastAsia="宋体" w:cs="Times New Roman"/>
        </w:rPr>
      </w:pPr>
      <w:bookmarkStart w:id="1" w:name="OLE_LINK387"/>
      <w:r>
        <w:rPr>
          <w:rFonts w:hint="default" w:ascii="Times New Roman" w:hAnsi="Times New Roman" w:eastAsia="宋体" w:cs="Times New Roman"/>
        </w:rPr>
        <w:t xml:space="preserve">The mixture for testing nitrification rate was composed of nutrient medium, sludge and water samples, and distilled water was added to make up the volume to 100 mL. The remaining components are mixed first and then the activated sludge inoculum is added. During the microbial incubation process, the microorganisms in the activated sludge in the incubator ensure full contact with CGW. The incubator temperature was controlled at 22±2 °C and the incubation time was 4 h. Subsequently, the conical flask was removed from the incubator and the sealing film was detached, and a certain volume of mixed liquid was extracted with a sealed syringe, and finally the liquid was filtered by an aqueous polyethersulfone needle filter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ADDIN EN.CITE &lt;EndNote&gt;&lt;Cite&gt;&lt;Author&gt;Zhu&lt;/Author&gt;&lt;Year&gt;2023&lt;/Year&gt;&lt;RecNum&gt;1186&lt;/RecNum&gt;&lt;DisplayText&gt;(Zhu et al. 2023)&lt;/DisplayText&gt;&lt;record&gt;&lt;rec-number&gt;1186&lt;/rec-number&gt;&lt;foreign-keys&gt;&lt;key app="EN" db-id="fssxp0t0q05tzpepfpxpr0r95wadvrrprarp" timestamp="1697616923"&gt;1186&lt;/key&gt;&lt;/foreign-keys&gt;&lt;ref-type name="Journal Article"&gt;17&lt;/ref-type&gt;&lt;contributors&gt;&lt;authors&gt;&lt;author&gt;Zhu, X. Z.&lt;/author&gt;&lt;author&gt;Tian, T.&lt;/author&gt;&lt;author&gt;Li, D. Y.&lt;/author&gt;&lt;author&gt;Hei, S. Q.&lt;/author&gt;&lt;author&gt;Chen, L.&lt;/author&gt;&lt;author&gt;Song, G. Q.&lt;/author&gt;&lt;author&gt;Lin, W. C.&lt;/author&gt;&lt;author&gt;Huang, X.&lt;/author&gt;&lt;/authors&gt;&lt;/contributors&gt;&lt;titles&gt;&lt;title&gt;Interface interaction between silica and organic macromolecule conditioned forward osmosis membranes: Insights into quantitative thermodynamics and dynamics&lt;/title&gt;&lt;secondary-title&gt;Water Research&lt;/secondary-title&gt;&lt;/titles&gt;&lt;periodical&gt;&lt;full-title&gt;Water Research&lt;/full-title&gt;&lt;/periodical&gt;&lt;pages&gt;119721&lt;/pages&gt;&lt;volume&gt;232&lt;/volume&gt;&lt;dates&gt;&lt;year&gt;2023&lt;/year&gt;&lt;pub-dates&gt;&lt;date&gt;Apr&lt;/date&gt;&lt;/pub-dates&gt;&lt;/dates&gt;&lt;isbn&gt;0043-1354&lt;/isbn&gt;&lt;accession-num&gt;WOS:000944455800001&lt;/accession-num&gt;&lt;urls&gt;&lt;related-urls&gt;&lt;url&gt;&amp;lt;Go to ISI&amp;gt;://WOS:000944455800001&lt;/url&gt;&lt;/related-urls&gt;&lt;/urls&gt;&lt;custom7&gt;119721&lt;/custom7&gt;&lt;electronic-resource-num&gt;10.1016/j.watres.2023.119721&lt;/electronic-resource-num&gt;&lt;/record&gt;&lt;/Cite&gt;&lt;/EndNote&gt;</w:instrText>
      </w:r>
      <w:r>
        <w:rPr>
          <w:rFonts w:hint="default" w:ascii="Times New Roman" w:hAnsi="Times New Roman" w:eastAsia="宋体" w:cs="Times New Roman"/>
        </w:rPr>
        <w:fldChar w:fldCharType="separate"/>
      </w:r>
      <w:r>
        <w:rPr>
          <w:rFonts w:hint="default" w:ascii="Times New Roman" w:hAnsi="Times New Roman" w:eastAsia="宋体" w:cs="Times New Roman"/>
        </w:rPr>
        <w:t>(Zhu et al. 2023)</w:t>
      </w:r>
      <w:r>
        <w:rPr>
          <w:rFonts w:hint="default" w:ascii="Times New Roman" w:hAnsi="Times New Roman" w:eastAsia="宋体" w:cs="Times New Roman"/>
        </w:rPr>
        <w:fldChar w:fldCharType="end"/>
      </w:r>
      <w:r>
        <w:rPr>
          <w:rFonts w:hint="default" w:ascii="Times New Roman" w:hAnsi="Times New Roman" w:eastAsia="宋体" w:cs="Times New Roman"/>
        </w:rPr>
        <w:t>. The NIR of sludge for different DO gradient of influent and effluent, as shown in Eq. S1. NO</w:t>
      </w:r>
      <w:r>
        <w:rPr>
          <w:rFonts w:hint="default" w:ascii="Times New Roman" w:hAnsi="Times New Roman" w:eastAsia="宋体" w:cs="Times New Roman"/>
          <w:vertAlign w:val="subscript"/>
        </w:rPr>
        <w:t>3</w:t>
      </w:r>
      <w:r>
        <w:rPr>
          <w:rFonts w:hint="default" w:ascii="Times New Roman" w:hAnsi="Times New Roman" w:eastAsia="宋体" w:cs="Times New Roman"/>
        </w:rPr>
        <w:t>ˉ and NO</w:t>
      </w:r>
      <w:r>
        <w:rPr>
          <w:rFonts w:hint="default" w:ascii="Times New Roman" w:hAnsi="Times New Roman" w:eastAsia="宋体" w:cs="Times New Roman"/>
          <w:vertAlign w:val="subscript"/>
        </w:rPr>
        <w:t>2</w:t>
      </w:r>
      <w:r>
        <w:rPr>
          <w:rFonts w:hint="default" w:ascii="Times New Roman" w:hAnsi="Times New Roman" w:eastAsia="宋体" w:cs="Times New Roman"/>
        </w:rPr>
        <w:t xml:space="preserve">ˉ concentrations were tested by ion chromatography. </w:t>
      </w:r>
    </w:p>
    <w:p>
      <w:pPr>
        <w:widowControl/>
        <w:spacing w:line="360" w:lineRule="auto"/>
        <w:rPr>
          <w:rFonts w:hint="default" w:ascii="Times New Roman" w:hAnsi="Times New Roman" w:eastAsia="宋体" w:cs="Times New Roman"/>
        </w:rPr>
      </w:pPr>
      <w:r>
        <w:rPr>
          <w:rFonts w:hint="default" w:ascii="Times New Roman" w:hAnsi="Times New Roman" w:eastAsia="宋体" w:cs="Times New Roman"/>
          <w:position w:val="-32"/>
        </w:rPr>
        <w:object>
          <v:shape id="_x0000_i1025" o:spt="75" type="#_x0000_t75" style="height:35pt;width:102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hint="default" w:ascii="Times New Roman" w:hAnsi="Times New Roman" w:eastAsia="宋体" w:cs="Times New Roman"/>
          <w:position w:val="-32"/>
        </w:rPr>
        <w:t xml:space="preserve">                                                        (S1)</w:t>
      </w:r>
    </w:p>
    <w:p>
      <w:pPr>
        <w:widowControl/>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Where, </w:t>
      </w:r>
      <w:r>
        <w:rPr>
          <w:rFonts w:hint="default" w:ascii="Times New Roman" w:hAnsi="Times New Roman" w:eastAsia="宋体" w:cs="Times New Roman"/>
          <w:i/>
          <w:iCs/>
        </w:rPr>
        <w:t>A</w:t>
      </w:r>
      <w:r>
        <w:rPr>
          <w:rFonts w:hint="default" w:ascii="Times New Roman" w:hAnsi="Times New Roman" w:eastAsia="宋体" w:cs="Times New Roman"/>
          <w:vertAlign w:val="subscript"/>
        </w:rPr>
        <w:t>c</w:t>
      </w:r>
      <w:r>
        <w:rPr>
          <w:rFonts w:hint="default" w:ascii="Times New Roman" w:hAnsi="Times New Roman" w:eastAsia="宋体" w:cs="Times New Roman"/>
        </w:rPr>
        <w:t xml:space="preserve"> is the concentration of </w:t>
      </w:r>
      <w:bookmarkStart w:id="2" w:name="OLE_LINK4"/>
      <w:r>
        <w:rPr>
          <w:rFonts w:hint="default" w:ascii="Times New Roman" w:hAnsi="Times New Roman" w:eastAsia="宋体" w:cs="Times New Roman"/>
        </w:rPr>
        <w:t>NO</w:t>
      </w:r>
      <w:r>
        <w:rPr>
          <w:rFonts w:hint="default" w:ascii="Times New Roman" w:hAnsi="Times New Roman" w:eastAsia="宋体" w:cs="Times New Roman"/>
          <w:vertAlign w:val="subscript"/>
        </w:rPr>
        <w:t>3</w:t>
      </w:r>
      <w:r>
        <w:rPr>
          <w:rFonts w:hint="default" w:ascii="Times New Roman" w:hAnsi="Times New Roman" w:eastAsia="宋体" w:cs="Times New Roman"/>
        </w:rPr>
        <w:t>ˉ</w:t>
      </w:r>
      <w:bookmarkEnd w:id="2"/>
      <w:r>
        <w:rPr>
          <w:rFonts w:hint="default" w:ascii="Times New Roman" w:hAnsi="Times New Roman" w:eastAsia="宋体" w:cs="Times New Roman"/>
        </w:rPr>
        <w:t xml:space="preserve"> and NO</w:t>
      </w:r>
      <w:r>
        <w:rPr>
          <w:rFonts w:hint="default" w:ascii="Times New Roman" w:hAnsi="Times New Roman" w:eastAsia="宋体" w:cs="Times New Roman"/>
          <w:vertAlign w:val="subscript"/>
        </w:rPr>
        <w:t>2</w:t>
      </w:r>
      <w:r>
        <w:rPr>
          <w:rFonts w:hint="default" w:ascii="Times New Roman" w:hAnsi="Times New Roman" w:eastAsia="宋体" w:cs="Times New Roman"/>
        </w:rPr>
        <w:t xml:space="preserve">ˉ (mg/L) in the blank control after incubation; </w:t>
      </w:r>
      <w:r>
        <w:rPr>
          <w:rFonts w:hint="default" w:ascii="Times New Roman" w:hAnsi="Times New Roman" w:eastAsia="宋体" w:cs="Times New Roman"/>
          <w:i/>
          <w:iCs/>
        </w:rPr>
        <w:t>A</w:t>
      </w:r>
      <w:r>
        <w:rPr>
          <w:rFonts w:hint="default" w:ascii="Times New Roman" w:hAnsi="Times New Roman" w:eastAsia="宋体" w:cs="Times New Roman"/>
          <w:vertAlign w:val="subscript"/>
        </w:rPr>
        <w:t>t</w:t>
      </w:r>
      <w:r>
        <w:rPr>
          <w:rFonts w:hint="default" w:ascii="Times New Roman" w:hAnsi="Times New Roman" w:eastAsia="宋体" w:cs="Times New Roman"/>
        </w:rPr>
        <w:t xml:space="preserve"> is the concentration of NO</w:t>
      </w:r>
      <w:r>
        <w:rPr>
          <w:rFonts w:hint="default" w:ascii="Times New Roman" w:hAnsi="Times New Roman" w:eastAsia="宋体" w:cs="Times New Roman"/>
          <w:vertAlign w:val="subscript"/>
        </w:rPr>
        <w:t>3</w:t>
      </w:r>
      <w:r>
        <w:rPr>
          <w:rFonts w:hint="default" w:ascii="Times New Roman" w:hAnsi="Times New Roman" w:eastAsia="宋体" w:cs="Times New Roman"/>
        </w:rPr>
        <w:t>ˉ and NO</w:t>
      </w:r>
      <w:r>
        <w:rPr>
          <w:rFonts w:hint="default" w:ascii="Times New Roman" w:hAnsi="Times New Roman" w:eastAsia="宋体" w:cs="Times New Roman"/>
          <w:vertAlign w:val="subscript"/>
        </w:rPr>
        <w:t>2</w:t>
      </w:r>
      <w:r>
        <w:rPr>
          <w:rFonts w:hint="default" w:ascii="Times New Roman" w:hAnsi="Times New Roman" w:eastAsia="宋体" w:cs="Times New Roman"/>
        </w:rPr>
        <w:t xml:space="preserve">ˉ (mg/L) in the influent and effluent test groups at different stages after incubation; </w:t>
      </w:r>
      <w:r>
        <w:rPr>
          <w:rFonts w:hint="default" w:ascii="Times New Roman" w:hAnsi="Times New Roman" w:eastAsia="宋体" w:cs="Times New Roman"/>
          <w:i/>
          <w:iCs/>
        </w:rPr>
        <w:t>A</w:t>
      </w:r>
      <w:r>
        <w:rPr>
          <w:rFonts w:hint="default" w:ascii="Times New Roman" w:hAnsi="Times New Roman" w:eastAsia="宋体" w:cs="Times New Roman"/>
          <w:vertAlign w:val="subscript"/>
        </w:rPr>
        <w:t>p</w:t>
      </w:r>
      <w:r>
        <w:rPr>
          <w:rFonts w:hint="default" w:ascii="Times New Roman" w:hAnsi="Times New Roman" w:eastAsia="宋体" w:cs="Times New Roman"/>
        </w:rPr>
        <w:t xml:space="preserve"> is the concentration of NO</w:t>
      </w:r>
      <w:r>
        <w:rPr>
          <w:rFonts w:hint="default" w:ascii="Times New Roman" w:hAnsi="Times New Roman" w:eastAsia="宋体" w:cs="Times New Roman"/>
          <w:vertAlign w:val="subscript"/>
        </w:rPr>
        <w:t>3</w:t>
      </w:r>
      <w:r>
        <w:rPr>
          <w:rFonts w:hint="default" w:ascii="Times New Roman" w:hAnsi="Times New Roman" w:eastAsia="宋体" w:cs="Times New Roman"/>
        </w:rPr>
        <w:t>ˉ and NO</w:t>
      </w:r>
      <w:r>
        <w:rPr>
          <w:rFonts w:hint="default" w:ascii="Times New Roman" w:hAnsi="Times New Roman" w:eastAsia="宋体" w:cs="Times New Roman"/>
          <w:vertAlign w:val="subscript"/>
        </w:rPr>
        <w:t>2</w:t>
      </w:r>
      <w:r>
        <w:rPr>
          <w:rFonts w:hint="default" w:ascii="Times New Roman" w:hAnsi="Times New Roman" w:eastAsia="宋体" w:cs="Times New Roman"/>
        </w:rPr>
        <w:t>ˉ (mg/L) in the control containing ATU inhibitor after incubation.</w:t>
      </w:r>
    </w:p>
    <w:p>
      <w:pPr>
        <w:widowControl/>
        <w:jc w:val="left"/>
        <w:rPr>
          <w:rFonts w:hint="default" w:ascii="Times New Roman" w:hAnsi="Times New Roman" w:cs="Times New Roman"/>
          <w:b/>
          <w:bCs/>
          <w:szCs w:val="21"/>
        </w:rPr>
      </w:pPr>
      <w:r>
        <w:rPr>
          <w:rFonts w:hint="default" w:ascii="Times New Roman" w:hAnsi="Times New Roman" w:cs="Times New Roman"/>
          <w:b/>
          <w:bCs/>
          <w:szCs w:val="21"/>
        </w:rPr>
        <w:br w:type="page"/>
      </w:r>
    </w:p>
    <w:bookmarkEnd w:id="1"/>
    <w:p>
      <w:pPr>
        <w:spacing w:line="360" w:lineRule="auto"/>
        <w:rPr>
          <w:rFonts w:hint="default" w:ascii="Times New Roman" w:hAnsi="Times New Roman" w:cs="Times New Roman"/>
          <w:b/>
          <w:bCs/>
          <w:color w:val="FF0000"/>
          <w:sz w:val="24"/>
          <w:szCs w:val="24"/>
          <w:highlight w:val="none"/>
        </w:rPr>
      </w:pPr>
      <w:bookmarkStart w:id="3" w:name="OLE_LINK62"/>
      <w:r>
        <w:rPr>
          <w:rFonts w:hint="default" w:ascii="Times New Roman" w:hAnsi="Times New Roman" w:cs="Times New Roman"/>
          <w:b/>
          <w:color w:val="FF0000"/>
          <w:sz w:val="24"/>
          <w:szCs w:val="24"/>
          <w:highlight w:val="none"/>
        </w:rPr>
        <w:t>Appendix</w:t>
      </w:r>
      <w:r>
        <w:rPr>
          <w:rFonts w:hint="default" w:ascii="Times New Roman" w:hAnsi="Times New Roman" w:cs="Times New Roman"/>
          <w:b/>
          <w:bCs/>
          <w:color w:val="FF0000"/>
          <w:sz w:val="24"/>
          <w:szCs w:val="24"/>
          <w:highlight w:val="none"/>
        </w:rPr>
        <w:t xml:space="preserve"> Text S4:</w:t>
      </w:r>
    </w:p>
    <w:p>
      <w:pPr>
        <w:spacing w:line="360" w:lineRule="auto"/>
        <w:ind w:firstLine="420" w:firstLineChars="200"/>
        <w:rPr>
          <w:rFonts w:hint="default" w:ascii="Times New Roman" w:hAnsi="Times New Roman" w:cs="Times New Roman"/>
          <w:color w:val="FF0000"/>
          <w:szCs w:val="21"/>
          <w:highlight w:val="none"/>
        </w:rPr>
      </w:pPr>
      <w:r>
        <w:rPr>
          <w:rFonts w:hint="default" w:ascii="Times New Roman" w:hAnsi="Times New Roman" w:cs="Times New Roman"/>
          <w:color w:val="FF0000"/>
          <w:highlight w:val="none"/>
        </w:rPr>
        <w:t xml:space="preserve">Firstly, 0.05 mL of sludge from the reactor during stage III was taken and washed three times using PBS solution. Then, </w:t>
      </w:r>
      <w:r>
        <w:rPr>
          <w:rFonts w:hint="default" w:ascii="Times New Roman" w:hAnsi="Times New Roman" w:cs="Times New Roman"/>
          <w:color w:val="FF0000"/>
          <w:szCs w:val="21"/>
          <w:highlight w:val="none"/>
        </w:rPr>
        <w:t>live/dead cells of the sludge were fluorescently stained with a staining kit (Beijing Solarbio Science &amp; Technology Co., Ltd., China). And the kit contained two solutions, calcein and propidium iodide (PI), for staining live (Ex=490 nm, Em=515 nm) and dead (Ex=535 nm, Em=617 nm) cells, respectively. Both calcein and PI can be excitable by light at 490 nm, thus laser scanning confocal microscope (LSCM, LEXT OLS5100, OLYMPUS, Japan) could be used to monitor both live and dead cells. Finally, the color of dead and live cells in the stained sludge was observed to be red and green, respectively, by LCSM at an emission wavelength of 505-620 nm, an excitation wavelength of 490 nm, and an exposure time of 4-10 us/pixel. Based on the distribution of colors, the number of live and dead cells could be observed to determine the activity of the sludge.</w:t>
      </w:r>
    </w:p>
    <w:p>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pPr>
        <w:spacing w:line="360" w:lineRule="auto"/>
        <w:rPr>
          <w:rFonts w:hint="default" w:ascii="Times New Roman" w:hAnsi="Times New Roman" w:cs="Times New Roman"/>
          <w:b/>
          <w:bCs/>
          <w:sz w:val="24"/>
          <w:szCs w:val="24"/>
        </w:rPr>
      </w:pPr>
      <w:r>
        <w:rPr>
          <w:rFonts w:hint="default" w:ascii="Times New Roman" w:hAnsi="Times New Roman" w:cs="Times New Roman"/>
          <w:b/>
          <w:color w:val="000000"/>
          <w:sz w:val="24"/>
          <w:szCs w:val="24"/>
        </w:rPr>
        <w:t>Appendix</w:t>
      </w:r>
      <w:r>
        <w:rPr>
          <w:rFonts w:hint="default" w:ascii="Times New Roman" w:hAnsi="Times New Roman" w:cs="Times New Roman"/>
          <w:b/>
          <w:bCs/>
          <w:sz w:val="24"/>
          <w:szCs w:val="24"/>
        </w:rPr>
        <w:t xml:space="preserve"> </w:t>
      </w:r>
      <w:r>
        <w:rPr>
          <w:rFonts w:hint="default" w:ascii="Times New Roman" w:hAnsi="Times New Roman" w:cs="Times New Roman"/>
          <w:b/>
          <w:bCs/>
          <w:color w:val="FF0000"/>
          <w:sz w:val="24"/>
          <w:szCs w:val="24"/>
          <w:highlight w:val="none"/>
        </w:rPr>
        <w:t>Text S5:</w:t>
      </w:r>
    </w:p>
    <w:p>
      <w:pPr>
        <w:widowControl/>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The supernatant was removed from the sludge mixture by centrifugation at 5000 r/min and washed three times with 0.1 M PBS. The sludge was then sonicated (200 W) at 4 °C for 30 min and broken up, followed by centrifugation at 20000 r/min, and the resulting supernatant is the crude enzyme solution. 0.2 mM NADPH, 1 mM FAD, 0.8 mM EDTA, 40 mM PBS and 50 µL crude enzyme solution were added sequentially to an enzyme plate. FAD acts as a coenzyme for phenol hydroxylase which hydroxylates phenol to catechol, and NADPH provides the H</w:t>
      </w:r>
      <w:r>
        <w:rPr>
          <w:rFonts w:hint="default" w:ascii="Times New Roman" w:hAnsi="Times New Roman" w:eastAsia="宋体" w:cs="Times New Roman"/>
          <w:vertAlign w:val="superscript"/>
        </w:rPr>
        <w:t>+</w:t>
      </w:r>
      <w:r>
        <w:rPr>
          <w:rFonts w:hint="default" w:ascii="Times New Roman" w:hAnsi="Times New Roman" w:eastAsia="宋体" w:cs="Times New Roman"/>
        </w:rPr>
        <w:t xml:space="preserve"> required for hydroxylation, thus the absorbance of NADPH at 340 nm can be measured by using a microplate reader to characterize the activity of phenol hydroxylase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ADDIN EN.CITE &lt;EndNote&gt;&lt;Cite&gt;&lt;Author&gt;Zhang&lt;/Author&gt;&lt;Year&gt;2022&lt;/Year&gt;&lt;RecNum&gt;1161&lt;/RecNum&gt;&lt;DisplayText&gt;(Zhang et al. 2022)&lt;/DisplayText&gt;&lt;record&gt;&lt;rec-number&gt;1161&lt;/rec-number&gt;&lt;foreign-keys&gt;&lt;key app="EN" db-id="fssxp0t0q05tzpepfpxpr0r95wadvrrprarp" timestamp="1697599289"&gt;1161&lt;/key&gt;&lt;/foreign-keys&gt;&lt;ref-type name="Journal Article"&gt;17&lt;/ref-type&gt;&lt;contributors&gt;&lt;authors&gt;&lt;author&gt;Zhang, Z. W.&lt;/author&gt;&lt;author&gt;Xi, H. B.&lt;/author&gt;&lt;author&gt;Yu, Y.&lt;/author&gt;&lt;author&gt;Wu, C. Y.&lt;/author&gt;&lt;author&gt;Yang, Y.&lt;/author&gt;&lt;author&gt;Guo, Z. Z.&lt;/author&gt;&lt;author&gt;Zhou, Y. X.&lt;/author&gt;&lt;/authors&gt;&lt;/contributors&gt;&lt;titles&gt;&lt;title&gt;Coupling of membrane-based bubbleless micro-aeration for 2,4-dinitro-phenol degradation in a hydrolysis acidification reactor&lt;/title&gt;&lt;secondary-title&gt;Water Research&lt;/secondary-title&gt;&lt;/titles&gt;&lt;periodical&gt;&lt;full-title&gt;Water Research&lt;/full-title&gt;&lt;/periodical&gt;&lt;pages&gt;118119&lt;/pages&gt;&lt;volume&gt;212&lt;/volume&gt;&lt;dates&gt;&lt;year&gt;2022&lt;/year&gt;&lt;pub-dates&gt;&lt;date&gt;Apr&lt;/date&gt;&lt;/pub-dates&gt;&lt;/dates&gt;&lt;isbn&gt;0043-1354&lt;/isbn&gt;&lt;accession-num&gt;WOS:000759010900005&lt;/accession-num&gt;&lt;urls&gt;&lt;related-urls&gt;&lt;url&gt;&amp;lt;Go to ISI&amp;gt;://WOS:000759010900005&lt;/url&gt;&lt;/related-urls&gt;&lt;/urls&gt;&lt;custom7&gt;118119&lt;/custom7&gt;&lt;electronic-resource-num&gt;10.1016/j.watres.2022.118119&lt;/electronic-resource-num&gt;&lt;/record&gt;&lt;/Cite&gt;&lt;/EndNote&gt;</w:instrText>
      </w:r>
      <w:r>
        <w:rPr>
          <w:rFonts w:hint="default" w:ascii="Times New Roman" w:hAnsi="Times New Roman" w:eastAsia="宋体" w:cs="Times New Roman"/>
        </w:rPr>
        <w:fldChar w:fldCharType="separate"/>
      </w:r>
      <w:r>
        <w:rPr>
          <w:rFonts w:hint="default" w:ascii="Times New Roman" w:hAnsi="Times New Roman" w:eastAsia="宋体" w:cs="Times New Roman"/>
        </w:rPr>
        <w:t>(Zhang et al. 2022)</w:t>
      </w:r>
      <w:r>
        <w:rPr>
          <w:rFonts w:hint="default" w:ascii="Times New Roman" w:hAnsi="Times New Roman" w:eastAsia="宋体" w:cs="Times New Roman"/>
        </w:rPr>
        <w:fldChar w:fldCharType="end"/>
      </w:r>
      <w:r>
        <w:rPr>
          <w:rFonts w:hint="default" w:ascii="Times New Roman" w:hAnsi="Times New Roman" w:eastAsia="宋体" w:cs="Times New Roman"/>
        </w:rPr>
        <w:t>. Enzyme activity was calculated according to Eq. S2.</w:t>
      </w:r>
    </w:p>
    <w:p>
      <w:pPr>
        <w:widowControl/>
        <w:spacing w:line="360" w:lineRule="auto"/>
        <w:rPr>
          <w:rFonts w:hint="default" w:ascii="Times New Roman" w:hAnsi="Times New Roman" w:cs="Times New Roman"/>
        </w:rPr>
      </w:pPr>
      <w:r>
        <w:rPr>
          <w:rFonts w:hint="default" w:ascii="Times New Roman" w:hAnsi="Times New Roman" w:cs="Times New Roman"/>
          <w:position w:val="-30"/>
        </w:rPr>
        <w:object>
          <v:shape id="_x0000_i1026" o:spt="75" type="#_x0000_t75" style="height:34pt;width:61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default" w:ascii="Times New Roman" w:hAnsi="Times New Roman" w:cs="Times New Roman"/>
        </w:rPr>
        <w:t xml:space="preserve">                                                                (S2)</w:t>
      </w:r>
    </w:p>
    <w:p>
      <w:pPr>
        <w:widowControl/>
        <w:spacing w:line="360" w:lineRule="auto"/>
        <w:rPr>
          <w:rFonts w:hint="default" w:ascii="Times New Roman" w:hAnsi="Times New Roman" w:cs="Times New Roman"/>
        </w:rPr>
      </w:pPr>
      <w:r>
        <w:rPr>
          <w:rFonts w:hint="default" w:ascii="Times New Roman" w:hAnsi="Times New Roman" w:eastAsia="宋体" w:cs="Times New Roman"/>
          <w:position w:val="-30"/>
        </w:rPr>
        <w:object>
          <v:shape id="_x0000_i1027" o:spt="75" type="#_x0000_t75" style="height:34pt;width:56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default" w:ascii="Times New Roman" w:hAnsi="Times New Roman" w:eastAsia="宋体" w:cs="Times New Roman"/>
        </w:rPr>
        <w:t xml:space="preserve">                                                                (S3)</w:t>
      </w:r>
    </w:p>
    <w:p>
      <w:pPr>
        <w:widowControl/>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Where </w:t>
      </w:r>
      <w:r>
        <w:rPr>
          <w:rFonts w:hint="default" w:ascii="Times New Roman" w:hAnsi="Times New Roman" w:eastAsia="宋体" w:cs="Times New Roman"/>
          <w:i/>
          <w:iCs/>
        </w:rPr>
        <w:t>U</w:t>
      </w:r>
      <w:r>
        <w:rPr>
          <w:rFonts w:hint="default" w:ascii="Times New Roman" w:hAnsi="Times New Roman" w:eastAsia="宋体" w:cs="Times New Roman"/>
        </w:rPr>
        <w:t xml:space="preserve"> is the unit of enzyme activity; </w:t>
      </w:r>
      <w:r>
        <w:rPr>
          <w:rFonts w:hint="default" w:ascii="Times New Roman" w:hAnsi="Times New Roman" w:eastAsia="宋体" w:cs="Times New Roman"/>
          <w:i/>
          <w:iCs/>
        </w:rPr>
        <w:t>∆</w:t>
      </w:r>
      <w:r>
        <w:rPr>
          <w:rFonts w:hint="default" w:ascii="Times New Roman" w:hAnsi="Times New Roman" w:eastAsia="宋体" w:cs="Times New Roman"/>
          <w:i/>
          <w:iCs/>
          <w:vertAlign w:val="subscript"/>
        </w:rPr>
        <w:t>NADPH</w:t>
      </w:r>
      <w:r>
        <w:rPr>
          <w:rFonts w:hint="default" w:ascii="Times New Roman" w:hAnsi="Times New Roman" w:eastAsia="宋体" w:cs="Times New Roman"/>
        </w:rPr>
        <w:t xml:space="preserve"> and ∆m</w:t>
      </w:r>
      <w:r>
        <w:rPr>
          <w:rFonts w:hint="default" w:ascii="Times New Roman" w:hAnsi="Times New Roman" w:eastAsia="宋体" w:cs="Times New Roman"/>
          <w:vertAlign w:val="subscript"/>
        </w:rPr>
        <w:t>hma</w:t>
      </w:r>
      <w:r>
        <w:rPr>
          <w:rFonts w:hint="default" w:ascii="Times New Roman" w:hAnsi="Times New Roman" w:eastAsia="宋体" w:cs="Times New Roman"/>
        </w:rPr>
        <w:t xml:space="preserve"> refer the variation of amount in NADPH and 2-hydroxymuconic acid, respectively (µmol); </w:t>
      </w:r>
      <w:r>
        <w:rPr>
          <w:rFonts w:hint="default" w:ascii="Times New Roman" w:hAnsi="Times New Roman" w:eastAsia="宋体" w:cs="Times New Roman"/>
          <w:i/>
          <w:iCs/>
        </w:rPr>
        <w:t>t</w:t>
      </w:r>
      <w:r>
        <w:rPr>
          <w:rFonts w:hint="default" w:ascii="Times New Roman" w:hAnsi="Times New Roman" w:eastAsia="宋体" w:cs="Times New Roman"/>
        </w:rPr>
        <w:t xml:space="preserve"> is time (min); </w:t>
      </w:r>
      <w:r>
        <w:rPr>
          <w:rFonts w:hint="default" w:ascii="Times New Roman" w:hAnsi="Times New Roman" w:eastAsia="宋体" w:cs="Times New Roman"/>
          <w:i/>
          <w:iCs/>
        </w:rPr>
        <w:t>m</w:t>
      </w:r>
      <w:r>
        <w:rPr>
          <w:rFonts w:hint="default" w:ascii="Times New Roman" w:hAnsi="Times New Roman" w:eastAsia="宋体" w:cs="Times New Roman"/>
          <w:vertAlign w:val="subscript"/>
        </w:rPr>
        <w:t>P</w:t>
      </w:r>
      <w:r>
        <w:rPr>
          <w:rFonts w:hint="default" w:ascii="Times New Roman" w:hAnsi="Times New Roman" w:eastAsia="宋体" w:cs="Times New Roman"/>
        </w:rPr>
        <w:t xml:space="preserve"> is the amount of protein in system (mg), and protein was detected by using the Beyoncé BCA method kit. </w:t>
      </w:r>
    </w:p>
    <w:p>
      <w:pPr>
        <w:rPr>
          <w:rFonts w:hint="default" w:ascii="Times New Roman" w:hAnsi="Times New Roman" w:cs="Times New Roman"/>
          <w:szCs w:val="21"/>
        </w:rPr>
      </w:pPr>
      <w:r>
        <w:rPr>
          <w:rFonts w:hint="default" w:ascii="Times New Roman" w:hAnsi="Times New Roman" w:cs="Times New Roman"/>
          <w:szCs w:val="21"/>
        </w:rPr>
        <w:br w:type="page"/>
      </w:r>
    </w:p>
    <w:p>
      <w:pPr>
        <w:spacing w:line="360" w:lineRule="auto"/>
        <w:rPr>
          <w:rFonts w:hint="default" w:ascii="Times New Roman" w:hAnsi="Times New Roman" w:cs="Times New Roman"/>
          <w:b/>
          <w:bCs/>
          <w:sz w:val="24"/>
          <w:szCs w:val="24"/>
        </w:rPr>
      </w:pPr>
      <w:r>
        <w:rPr>
          <w:rFonts w:hint="default" w:ascii="Times New Roman" w:hAnsi="Times New Roman" w:cs="Times New Roman"/>
          <w:b/>
          <w:color w:val="000000"/>
          <w:sz w:val="24"/>
          <w:szCs w:val="24"/>
        </w:rPr>
        <w:t>Appendix</w:t>
      </w:r>
      <w:r>
        <w:rPr>
          <w:rFonts w:hint="default" w:ascii="Times New Roman" w:hAnsi="Times New Roman" w:cs="Times New Roman"/>
          <w:b/>
          <w:bCs/>
          <w:sz w:val="24"/>
          <w:szCs w:val="24"/>
        </w:rPr>
        <w:t xml:space="preserve"> </w:t>
      </w:r>
      <w:r>
        <w:rPr>
          <w:rFonts w:hint="default" w:ascii="Times New Roman" w:hAnsi="Times New Roman" w:cs="Times New Roman"/>
          <w:b/>
          <w:bCs/>
          <w:color w:val="FF0000"/>
          <w:sz w:val="24"/>
          <w:szCs w:val="24"/>
          <w:highlight w:val="none"/>
        </w:rPr>
        <w:t>Text S6</w:t>
      </w:r>
      <w:r>
        <w:rPr>
          <w:rFonts w:hint="default" w:ascii="Times New Roman" w:hAnsi="Times New Roman" w:cs="Times New Roman"/>
          <w:b/>
          <w:bCs/>
          <w:sz w:val="24"/>
          <w:szCs w:val="24"/>
        </w:rPr>
        <w:t>:</w:t>
      </w:r>
    </w:p>
    <w:p>
      <w:pPr>
        <w:widowControl/>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First, 0.3 mL crude enzyme solution (as tested for phenol hydroxylase) and 2 mL catechol (0.1 M) were added to the centrifuge tube, respectively, and then the absorbance at 375 nm was immediately measured using a microplate reader. As catechol is cleaved to yellow 2-hydroxymuconic acid by the action of catechol dioxygenase, a specific absorption peak occurs at 375nm, so the variation in absorbance can characterize the activity of catechol dioxygenase. The relevant equation is shown in Eq. S3.</w:t>
      </w:r>
    </w:p>
    <w:p>
      <w:pPr>
        <w:spacing w:line="360" w:lineRule="auto"/>
        <w:rPr>
          <w:rFonts w:hint="default" w:ascii="Times New Roman" w:hAnsi="Times New Roman" w:cs="Times New Roman"/>
          <w:szCs w:val="21"/>
        </w:rPr>
      </w:pPr>
    </w:p>
    <w:p>
      <w:pPr>
        <w:spacing w:line="360" w:lineRule="auto"/>
        <w:rPr>
          <w:rFonts w:hint="default" w:ascii="Times New Roman" w:hAnsi="Times New Roman" w:cs="Times New Roman"/>
          <w:szCs w:val="21"/>
        </w:rPr>
      </w:pPr>
    </w:p>
    <w:bookmarkEnd w:id="3"/>
    <w:p>
      <w:pPr>
        <w:ind w:firstLine="420" w:firstLineChars="200"/>
        <w:rPr>
          <w:rFonts w:hint="default" w:ascii="Times New Roman" w:hAnsi="Times New Roman" w:cs="Times New Roman"/>
          <w:szCs w:val="21"/>
        </w:rPr>
      </w:pPr>
      <w:r>
        <w:rPr>
          <w:rFonts w:hint="default" w:ascii="Times New Roman" w:hAnsi="Times New Roman" w:cs="Times New Roman"/>
          <w:szCs w:val="21"/>
        </w:rPr>
        <w:br w:type="page"/>
      </w:r>
    </w:p>
    <w:p>
      <w:pPr>
        <w:spacing w:line="360" w:lineRule="auto"/>
        <w:rPr>
          <w:rFonts w:hint="default" w:ascii="Times New Roman" w:hAnsi="Times New Roman" w:cs="Times New Roman"/>
          <w:b/>
          <w:bCs/>
          <w:color w:val="FF0000"/>
          <w:sz w:val="24"/>
          <w:szCs w:val="24"/>
          <w:highlight w:val="none"/>
        </w:rPr>
      </w:pPr>
      <w:r>
        <w:rPr>
          <w:rFonts w:hint="default" w:ascii="Times New Roman" w:hAnsi="Times New Roman" w:cs="Times New Roman"/>
          <w:b/>
          <w:color w:val="FF0000"/>
          <w:sz w:val="24"/>
          <w:szCs w:val="24"/>
          <w:highlight w:val="none"/>
        </w:rPr>
        <w:t>Appendix</w:t>
      </w:r>
      <w:r>
        <w:rPr>
          <w:rFonts w:hint="default" w:ascii="Times New Roman" w:hAnsi="Times New Roman" w:cs="Times New Roman"/>
          <w:b/>
          <w:bCs/>
          <w:color w:val="FF0000"/>
          <w:sz w:val="24"/>
          <w:szCs w:val="24"/>
          <w:highlight w:val="none"/>
        </w:rPr>
        <w:t xml:space="preserve"> Text S7:</w:t>
      </w:r>
    </w:p>
    <w:p>
      <w:pPr>
        <w:numPr>
          <w:ilvl w:val="0"/>
          <w:numId w:val="1"/>
        </w:numPr>
        <w:spacing w:line="36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 xml:space="preserve">Microbial </w:t>
      </w:r>
      <w:r>
        <w:rPr>
          <w:rFonts w:hint="eastAsia" w:ascii="Times New Roman" w:hAnsi="Times New Roman" w:cs="Times New Roman"/>
          <w:color w:val="FF0000"/>
          <w:highlight w:val="none"/>
          <w:lang w:val="en-US" w:eastAsia="zh-CN"/>
        </w:rPr>
        <w:t>c</w:t>
      </w:r>
      <w:r>
        <w:rPr>
          <w:rFonts w:hint="default" w:ascii="Times New Roman" w:hAnsi="Times New Roman" w:cs="Times New Roman"/>
          <w:color w:val="FF0000"/>
          <w:highlight w:val="none"/>
        </w:rPr>
        <w:t xml:space="preserve">ommunity </w:t>
      </w:r>
      <w:r>
        <w:rPr>
          <w:rFonts w:hint="eastAsia" w:ascii="Times New Roman" w:hAnsi="Times New Roman" w:cs="Times New Roman"/>
          <w:color w:val="FF0000"/>
          <w:highlight w:val="none"/>
          <w:lang w:val="en-US" w:eastAsia="zh-CN"/>
        </w:rPr>
        <w:t>a</w:t>
      </w:r>
      <w:r>
        <w:rPr>
          <w:rFonts w:hint="default" w:ascii="Times New Roman" w:hAnsi="Times New Roman" w:cs="Times New Roman"/>
          <w:color w:val="FF0000"/>
          <w:highlight w:val="none"/>
        </w:rPr>
        <w:t>nalysis</w:t>
      </w:r>
    </w:p>
    <w:p>
      <w:pPr>
        <w:spacing w:line="360" w:lineRule="auto"/>
        <w:ind w:firstLine="420" w:firstLineChars="200"/>
        <w:rPr>
          <w:rFonts w:hint="default" w:ascii="Times New Roman" w:hAnsi="Times New Roman" w:eastAsia="宋体" w:cs="Times New Roman"/>
          <w:b/>
          <w:bCs/>
          <w:color w:val="FF0000"/>
          <w:highlight w:val="none"/>
        </w:rPr>
      </w:pPr>
      <w:r>
        <w:rPr>
          <w:rFonts w:hint="default" w:ascii="Times New Roman" w:hAnsi="Times New Roman" w:cs="Times New Roman"/>
          <w:color w:val="FF0000"/>
          <w:szCs w:val="21"/>
          <w:highlight w:val="none"/>
        </w:rPr>
        <w:t xml:space="preserve">High-throughput sequencing was utilized to determine the microbial community structure of sludge samples during stage III. The operation process of microbial Community analysis was based on the references </w:t>
      </w:r>
      <w:r>
        <w:rPr>
          <w:rFonts w:hint="default" w:ascii="Times New Roman" w:hAnsi="Times New Roman" w:cs="Times New Roman"/>
          <w:color w:val="FF0000"/>
          <w:szCs w:val="21"/>
          <w:highlight w:val="none"/>
        </w:rPr>
        <w:fldChar w:fldCharType="begin">
          <w:fldData xml:space="preserve">PEVuZE5vdGU+PENpdGU+PEF1dGhvcj5Tb25nPC9BdXRob3I+PFllYXI+MjAxOTwvWWVhcj48UmVj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</w:fldData>
        </w:fldChar>
      </w:r>
      <w:r>
        <w:rPr>
          <w:rFonts w:hint="default" w:ascii="Times New Roman" w:hAnsi="Times New Roman" w:cs="Times New Roman"/>
          <w:color w:val="FF0000"/>
          <w:szCs w:val="21"/>
          <w:highlight w:val="none"/>
        </w:rPr>
        <w:instrText xml:space="preserve"> ADDIN EN.CITE </w:instrText>
      </w:r>
      <w:r>
        <w:rPr>
          <w:rFonts w:hint="default" w:ascii="Times New Roman" w:hAnsi="Times New Roman" w:cs="Times New Roman"/>
          <w:color w:val="FF0000"/>
          <w:szCs w:val="21"/>
          <w:highlight w:val="none"/>
        </w:rPr>
        <w:fldChar w:fldCharType="begin">
          <w:fldData xml:space="preserve">PEVuZE5vdGU+PENpdGU+PEF1dGhvcj5Tb25nPC9BdXRob3I+PFllYXI+MjAxOTwvWWVhcj48UmVj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</w:fldData>
        </w:fldChar>
      </w:r>
      <w:r>
        <w:rPr>
          <w:rFonts w:hint="default" w:ascii="Times New Roman" w:hAnsi="Times New Roman" w:cs="Times New Roman"/>
          <w:color w:val="FF0000"/>
          <w:szCs w:val="21"/>
          <w:highlight w:val="none"/>
        </w:rPr>
        <w:instrText xml:space="preserve"> ADDIN EN.CITE.DATA </w:instrText>
      </w:r>
      <w:r>
        <w:rPr>
          <w:rFonts w:hint="default" w:ascii="Times New Roman" w:hAnsi="Times New Roman" w:cs="Times New Roman"/>
          <w:color w:val="FF0000"/>
          <w:szCs w:val="21"/>
          <w:highlight w:val="none"/>
        </w:rPr>
        <w:fldChar w:fldCharType="end"/>
      </w:r>
      <w:r>
        <w:rPr>
          <w:rFonts w:hint="default" w:ascii="Times New Roman" w:hAnsi="Times New Roman" w:cs="Times New Roman"/>
          <w:color w:val="FF0000"/>
          <w:szCs w:val="21"/>
          <w:highlight w:val="none"/>
        </w:rPr>
        <w:fldChar w:fldCharType="separate"/>
      </w:r>
      <w:r>
        <w:rPr>
          <w:rFonts w:hint="default" w:ascii="Times New Roman" w:hAnsi="Times New Roman" w:cs="Times New Roman"/>
          <w:color w:val="FF0000"/>
          <w:szCs w:val="21"/>
          <w:highlight w:val="none"/>
        </w:rPr>
        <w:t>(Song et al. 2019, Tian et al. 2020)</w:t>
      </w:r>
      <w:r>
        <w:rPr>
          <w:rFonts w:hint="default" w:ascii="Times New Roman" w:hAnsi="Times New Roman" w:cs="Times New Roman"/>
          <w:color w:val="FF0000"/>
          <w:szCs w:val="21"/>
          <w:highlight w:val="none"/>
        </w:rPr>
        <w:fldChar w:fldCharType="end"/>
      </w:r>
      <w:r>
        <w:rPr>
          <w:rFonts w:hint="default" w:ascii="Times New Roman" w:hAnsi="Times New Roman" w:cs="Times New Roman"/>
          <w:color w:val="FF0000"/>
          <w:szCs w:val="21"/>
          <w:highlight w:val="none"/>
        </w:rPr>
        <w:t xml:space="preserve">. Firstly, DNA in sludge samples was extracted using the Mag-Bind® Soil DNA Kit (Omega Bio-tek, Norcross, GA, USA) according to the manufacturer's instruction. The 16srRNA gene of the V3-V4 target region was amplified by PCR with preprimer 341F (CCTACGGGGNGGCWGCAG) and reverse primer 805R (GACTACHVGGGGTATCTAATCC). All polymerase chain reaction mixtures were purified using the MinElute Gel Extraction Kit (Qiagen, Germany). Then, the PCR-amplified products were purified and quantified by SanPrep DNA Gel Extraction Kit (Sangong Bio, China) and Qubit 3.0 DNA Detection Kit (Life, USA), respectively. Finally, the PCR products were adjusted to equalize their DNA concentrations and then sequenced on the Miseq sequencing platform (Illumina, USA). </w:t>
      </w:r>
      <w:r>
        <w:rPr>
          <w:rFonts w:hint="default" w:ascii="Times New Roman" w:hAnsi="Times New Roman" w:cs="Times New Roman"/>
          <w:color w:val="FF0000"/>
          <w:highlight w:val="none"/>
        </w:rPr>
        <w:t xml:space="preserve">Analysis of 16S rRNA gene sequences was conducted according to previous method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ADDIN EN.CITE &lt;EndNote&gt;&lt;Cite&gt;&lt;Author&gt;Wang&lt;/Author&gt;&lt;Year&gt;2011&lt;/Year&gt;&lt;RecNum&gt;2343&lt;/RecNum&gt;&lt;DisplayText&gt;(Wang et al. 2011)&lt;/DisplayText&gt;&lt;record&gt;&lt;rec-number&gt;2343&lt;/rec-number&gt;&lt;foreign-keys&gt;&lt;key app="EN" db-id="50wxdpzd9vd5r7e9t5b595djrfpttrxw9avp" timestamp="1744811296"&gt;2343&lt;/key&gt;&lt;/foreign-keys&gt;&lt;ref-type name="Journal Article"&gt;17&lt;/ref-type&gt;&lt;contributors&gt;&lt;authors&gt;&lt;author&gt;Wang, Ai-Jie&lt;/author&gt;&lt;author&gt;Cheng, Hao-Yi&lt;/author&gt;&lt;author&gt;Liang, Bin&lt;/author&gt;&lt;author&gt;Ren, Nan-Qi&lt;/author&gt;&lt;author&gt;Cui, Dan&lt;/author&gt;&lt;author&gt;Lin, Na&lt;/author&gt;&lt;author&gt;Kim, Byung Hong&lt;/author&gt;&lt;author&gt;Rabaey, Korneel&lt;/author&gt;&lt;/authors&gt;&lt;/contributors&gt;&lt;titles&gt;&lt;title&gt;Efficient Reduction of Nitrobenzene to Aniline with a Biocatalyzed Cathode&lt;/title&gt;&lt;secondary-title&gt;Environmental Science &amp;amp; Technology&lt;/secondary-title&gt;&lt;/titles&gt;&lt;periodical&gt;&lt;full-title&gt;Environmental Science &amp;amp; Technology&lt;/full-title&gt;&lt;/periodical&gt;&lt;pages&gt;10186-10193&lt;/pages&gt;&lt;volume&gt;45&lt;/volume&gt;&lt;number&gt;23&lt;/number&gt;&lt;dates&gt;&lt;year&gt;2011&lt;/year&gt;&lt;pub-dates&gt;&lt;date&gt;2011/12/01&lt;/date&gt;&lt;/pub-dates&gt;&lt;/dates&gt;&lt;publisher&gt;American Chemical Society&lt;/publisher&gt;&lt;isbn&gt;0013-936X&lt;/isbn&gt;&lt;urls&gt;&lt;related-urls&gt;&lt;url&gt;https://doi.org/10.1021/es202356w&lt;/url&gt;&lt;/related-urls&gt;&lt;/urls&gt;&lt;electronic-resource-num&gt;10.1021/es202356w&lt;/electronic-resource-num&gt;&lt;/record&gt;&lt;/Cite&gt;&lt;/EndNote&gt;</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(Wang et al. 2011)</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w:t>
      </w:r>
    </w:p>
    <w:p>
      <w:pPr>
        <w:numPr>
          <w:ilvl w:val="0"/>
          <w:numId w:val="1"/>
        </w:numPr>
        <w:spacing w:line="36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Genetic analysis and statistical method</w:t>
      </w:r>
    </w:p>
    <w:p>
      <w:pPr>
        <w:spacing w:line="360" w:lineRule="auto"/>
        <w:ind w:firstLine="420"/>
        <w:rPr>
          <w:rFonts w:hint="default" w:ascii="Times New Roman" w:hAnsi="Times New Roman" w:cs="Times New Roman"/>
          <w:color w:val="FF0000"/>
          <w:highlight w:val="none"/>
        </w:rPr>
      </w:pPr>
      <w:r>
        <w:rPr>
          <w:rFonts w:hint="default" w:ascii="Times New Roman" w:hAnsi="Times New Roman" w:cs="Times New Roman"/>
          <w:color w:val="FF0000"/>
          <w:highlight w:val="none"/>
        </w:rPr>
        <w:t xml:space="preserve">DNA extraction and PCR amplification methods were performed in the same way as for the microbial community structure tests. Metagenomic sequencing was conducted using the Illumina NovaSeq sequencing platform (Shanghai Meiji Biomedical Technology Co., Ltd., China). Firstly, the optimized sequences were assembled by splicing using the assembler software (MEGAHIT, https://github.com/voutcn/megahit, version 1.1.2) based on the principle of succinct de Bruijn graphs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ADDIN EN.CITE &lt;EndNote&gt;&lt;Cite&gt;&lt;Author&gt;Li&lt;/Author&gt;&lt;Year&gt;2015&lt;/Year&gt;&lt;RecNum&gt;2344&lt;/RecNum&gt;&lt;DisplayText&gt;(Li et al. 2015)&lt;/DisplayText&gt;&lt;record&gt;&lt;rec-number&gt;2344&lt;/rec-number&gt;&lt;foreign-keys&gt;&lt;key app="EN" db-id="50wxdpzd9vd5r7e9t5b595djrfpttrxw9avp" timestamp="1744811522"&gt;2344&lt;/key&gt;&lt;/foreign-keys&gt;&lt;ref-type name="Journal Article"&gt;17&lt;/ref-type&gt;&lt;contributors&gt;&lt;authors&gt;&lt;author&gt;Li, Dinghua&lt;/author&gt;&lt;author&gt;Liu, Chi-Man&lt;/author&gt;&lt;author&gt;Luo, Ruibang&lt;/author&gt;&lt;author&gt;Sadakane, Kunihiko&lt;/author&gt;&lt;author&gt;Lam, Tak-Wah&lt;/author&gt;&lt;/authors&gt;&lt;/contributors&gt;&lt;titles&gt;&lt;title&gt;MEGAHIT: an ultra-fast single-node solution for large and complex metagenomics assembly via succinct de Bruijn graph&lt;/title&gt;&lt;secondary-title&gt;Bioinformatics&lt;/secondary-title&gt;&lt;/titles&gt;&lt;periodical&gt;&lt;full-title&gt;Bioinformatics&lt;/full-title&gt;&lt;/periodical&gt;&lt;pages&gt;1674-1676&lt;/pages&gt;&lt;volume&gt;31&lt;/volume&gt;&lt;number&gt;10&lt;/number&gt;&lt;dates&gt;&lt;year&gt;2015&lt;/year&gt;&lt;/dates&gt;&lt;isbn&gt;1367-4803&lt;/isbn&gt;&lt;urls&gt;&lt;related-urls&gt;&lt;url&gt;https://doi.org/10.1093/bioinformatics/btv033&lt;/url&gt;&lt;/related-urls&gt;&lt;/urls&gt;&lt;electronic-resource-num&gt;10.1093/bioinformatics/btv033 %J Bioinformatics&lt;/electronic-resource-num&gt;&lt;access-date&gt;4/16/2025&lt;/access-date&gt;&lt;/record&gt;&lt;/Cite&gt;&lt;/EndNote&gt;</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(Li et al. 2015)</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 Among the splicing results, contigs large</w:t>
      </w:r>
      <w:r>
        <w:rPr>
          <w:rFonts w:hint="eastAsia" w:ascii="Times New Roman" w:hAnsi="Times New Roman" w:cs="Times New Roman"/>
          <w:color w:val="FF0000"/>
          <w:highlight w:val="none"/>
          <w:lang w:val="en-US" w:eastAsia="zh-CN"/>
        </w:rPr>
        <w:t>r</w:t>
      </w:r>
      <w:r>
        <w:rPr>
          <w:rFonts w:hint="default" w:ascii="Times New Roman" w:hAnsi="Times New Roman" w:cs="Times New Roman"/>
          <w:color w:val="FF0000"/>
          <w:highlight w:val="none"/>
        </w:rPr>
        <w:t xml:space="preserve"> than 300 bp were screened as the final assembly results. ORF prediction of contigs from the splicing results was subsequently performed using Prodigal/MetaGene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HYPERLINK "http://metagene.cb.k.u-tokyo.ac.jp/" </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http://metagene.cb.k.u-tokyo.ac.jp/</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 xml:space="preserve">)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ADDIN EN.CITE &lt;EndNote&gt;&lt;Cite&gt;&lt;Author&gt;Noguchi&lt;/Author&gt;&lt;Year&gt;2006&lt;/Year&gt;&lt;RecNum&gt;2345&lt;/RecNum&gt;&lt;DisplayText&gt;(Noguchi et al. 2006)&lt;/DisplayText&gt;&lt;record&gt;&lt;rec-number&gt;2345&lt;/rec-number&gt;&lt;foreign-keys&gt;&lt;key app="EN" db-id="50wxdpzd9vd5r7e9t5b595djrfpttrxw9avp" timestamp="1744811648"&gt;2345&lt;/key&gt;&lt;/foreign-keys&gt;&lt;ref-type name="Journal Article"&gt;17&lt;/ref-type&gt;&lt;contributors&gt;&lt;authors&gt;&lt;author&gt;Noguchi, Hideki&lt;/author&gt;&lt;author&gt;Park, Jungho&lt;/author&gt;&lt;author&gt;Takagi, Toshihisa&lt;/author&gt;&lt;/authors&gt;&lt;/contributors&gt;&lt;titles&gt;&lt;title&gt;MetaGene: prokaryotic gene finding from environmental genome shotgun sequences&lt;/title&gt;&lt;secondary-title&gt;Nucleic Acids Research&lt;/secondary-title&gt;&lt;/titles&gt;&lt;periodical&gt;&lt;full-title&gt;Nucleic Acids Research&lt;/full-title&gt;&lt;/periodical&gt;&lt;pages&gt;5623-5630&lt;/pages&gt;&lt;volume&gt;34&lt;/volume&gt;&lt;number&gt;19&lt;/number&gt;&lt;dates&gt;&lt;year&gt;2006&lt;/year&gt;&lt;/dates&gt;&lt;isbn&gt;0305-1048&lt;/isbn&gt;&lt;urls&gt;&lt;related-urls&gt;&lt;url&gt;https://doi.org/10.1093/nar/gkl723&lt;/url&gt;&lt;/related-urls&gt;&lt;/urls&gt;&lt;electronic-resource-num&gt;10.1093/nar/gkl723 %J Nucleic Acids Research&lt;/electronic-resource-num&gt;&lt;access-date&gt;4/16/2025&lt;/access-date&gt;&lt;/record&gt;&lt;/Cite&gt;&lt;/EndNote&gt;</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(Noguchi et al. 2006)</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 Genes with nucleic acid lengths greater than 100 bp were selected and translated into amino acid sequences. In the construction of non-redundant gene set, the gene sequences predicted from all samples were clustered (parameters: 90% identity, 90% coverage) using CD-HIT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HYPERLINK "http://www.bioinformatics.org/cd-hit/" </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http://www.bioinformatics.org/cd-hit/</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 xml:space="preserve">, version 4.6.1)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ADDIN EN.CITE &lt;EndNote&gt;&lt;Cite&gt;&lt;Author&gt;Fu&lt;/Author&gt;&lt;Year&gt;2012&lt;/Year&gt;&lt;RecNum&gt;2346&lt;/RecNum&gt;&lt;DisplayText&gt;(Fu et al. 2012)&lt;/DisplayText&gt;&lt;record&gt;&lt;rec-number&gt;2346&lt;/rec-number&gt;&lt;foreign-keys&gt;&lt;key app="EN" db-id="50wxdpzd9vd5r7e9t5b595djrfpttrxw9avp" timestamp="1744811767"&gt;2346&lt;/key&gt;&lt;/foreign-keys&gt;&lt;ref-type name="Journal Article"&gt;17&lt;/ref-type&gt;&lt;contributors&gt;&lt;authors&gt;&lt;author&gt;Fu, Limin&lt;/author&gt;&lt;author&gt;Niu, Beifang&lt;/author&gt;&lt;author&gt;Zhu, Zhengwei&lt;/author&gt;&lt;author&gt;Wu, Sitao&lt;/author&gt;&lt;author&gt;Li, Weizhong&lt;/author&gt;&lt;/authors&gt;&lt;/contributors&gt;&lt;titles&gt;&lt;title&gt;CD-HIT: accelerated for clustering the next-generation sequencing data&lt;/title&gt;&lt;secondary-title&gt;Bioinformatics&lt;/secondary-title&gt;&lt;/titles&gt;&lt;periodical&gt;&lt;full-title&gt;Bioinformatics&lt;/full-title&gt;&lt;/periodical&gt;&lt;pages&gt;3150-3152&lt;/pages&gt;&lt;volume&gt;28&lt;/volume&gt;&lt;number&gt;23&lt;/number&gt;&lt;dates&gt;&lt;year&gt;2012&lt;/year&gt;&lt;/dates&gt;&lt;isbn&gt;1367-4803&lt;/isbn&gt;&lt;urls&gt;&lt;related-urls&gt;&lt;url&gt;https://doi.org/10.1093/bioinformatics/bts565&lt;/url&gt;&lt;/related-urls&gt;&lt;/urls&gt;&lt;electronic-resource-num&gt;10.1093/bioinformatics/bts565 %J Bioinformatics&lt;/electronic-resource-num&gt;&lt;access-date&gt;4/16/2025&lt;/access-date&gt;&lt;/record&gt;&lt;/Cite&gt;&lt;/EndNote&gt;</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(Fu et al. 2012)</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 xml:space="preserve">, and the longest gene in each class was taken as the representative sequence to construct the non-redundant gene set. </w:t>
      </w:r>
    </w:p>
    <w:p>
      <w:pPr>
        <w:spacing w:line="360" w:lineRule="auto"/>
        <w:ind w:firstLine="420" w:firstLineChars="200"/>
        <w:rPr>
          <w:rFonts w:hint="default" w:ascii="Times New Roman" w:hAnsi="Times New Roman" w:eastAsia="宋体" w:cs="Times New Roman"/>
          <w:color w:val="FF0000"/>
          <w:szCs w:val="21"/>
          <w:highlight w:val="none"/>
        </w:rPr>
      </w:pPr>
      <w:r>
        <w:rPr>
          <w:rFonts w:hint="default" w:ascii="Times New Roman" w:hAnsi="Times New Roman" w:cs="Times New Roman"/>
          <w:color w:val="FF0000"/>
          <w:highlight w:val="none"/>
        </w:rPr>
        <w:t xml:space="preserve">High-quality reads from each sample were individually compared to the non-redundant gene set (95% identity) using SOAPaligner software (http://soap.genomics.org.cn/, version 2.21) </w:t>
      </w:r>
      <w:r>
        <w:rPr>
          <w:rFonts w:hint="default" w:ascii="Times New Roman" w:hAnsi="Times New Roman" w:cs="Times New Roman"/>
          <w:color w:val="FF0000"/>
          <w:highlight w:val="none"/>
        </w:rPr>
        <w:fldChar w:fldCharType="begin"/>
      </w:r>
      <w:r>
        <w:rPr>
          <w:rFonts w:hint="default" w:ascii="Times New Roman" w:hAnsi="Times New Roman" w:cs="Times New Roman"/>
          <w:color w:val="FF0000"/>
          <w:highlight w:val="none"/>
        </w:rPr>
        <w:instrText xml:space="preserve"> ADDIN EN.CITE &lt;EndNote&gt;&lt;Cite&gt;&lt;Author&gt;Li&lt;/Author&gt;&lt;Year&gt;2008&lt;/Year&gt;&lt;RecNum&gt;2347&lt;/RecNum&gt;&lt;DisplayText&gt;(Li et al. 2008)&lt;/DisplayText&gt;&lt;record&gt;&lt;rec-number&gt;2347&lt;/rec-number&gt;&lt;foreign-keys&gt;&lt;key app="EN" db-id="50wxdpzd9vd5r7e9t5b595djrfpttrxw9avp" timestamp="1744811871"&gt;2347&lt;/key&gt;&lt;/foreign-keys&gt;&lt;ref-type name="Journal Article"&gt;17&lt;/ref-type&gt;&lt;contributors&gt;&lt;authors&gt;&lt;author&gt;Li, Ruiqiang&lt;/author&gt;&lt;author&gt;Li, Yingrui&lt;/author&gt;&lt;author&gt;Kristiansen, Karsten&lt;/author&gt;&lt;author&gt;Wang, Jun&lt;/author&gt;&lt;/authors&gt;&lt;/contributors&gt;&lt;titles&gt;&lt;title&gt;SOAP: short oligonucleotide alignment program&lt;/title&gt;&lt;secondary-title&gt;Bioinformatics&lt;/secondary-title&gt;&lt;/titles&gt;&lt;periodical&gt;&lt;full-title&gt;Bioinformatics&lt;/full-title&gt;&lt;/periodical&gt;&lt;pages&gt;713-714&lt;/pages&gt;&lt;volume&gt;24&lt;/volume&gt;&lt;number&gt;5&lt;/number&gt;&lt;dates&gt;&lt;year&gt;2008&lt;/year&gt;&lt;/dates&gt;&lt;isbn&gt;1367-4803&lt;/isbn&gt;&lt;urls&gt;&lt;related-urls&gt;&lt;url&gt;https://doi.org/10.1093/bioinformatics/btn025&lt;/url&gt;&lt;/related-urls&gt;&lt;/urls&gt;&lt;electronic-resource-num&gt;10.1093/bioinformatics/btn025 %J Bioinformatics&lt;/electronic-resource-num&gt;&lt;access-date&gt;4/16/2025&lt;/access-date&gt;&lt;/record&gt;&lt;/Cite&gt;&lt;/EndNote&gt;</w:instrText>
      </w:r>
      <w:r>
        <w:rPr>
          <w:rFonts w:hint="default" w:ascii="Times New Roman" w:hAnsi="Times New Roman" w:cs="Times New Roman"/>
          <w:color w:val="FF0000"/>
          <w:highlight w:val="none"/>
        </w:rPr>
        <w:fldChar w:fldCharType="separate"/>
      </w:r>
      <w:r>
        <w:rPr>
          <w:rFonts w:hint="default" w:ascii="Times New Roman" w:hAnsi="Times New Roman" w:cs="Times New Roman"/>
          <w:color w:val="FF0000"/>
          <w:highlight w:val="none"/>
        </w:rPr>
        <w:t>(Li et al. 2008)</w:t>
      </w:r>
      <w:r>
        <w:rPr>
          <w:rFonts w:hint="default" w:ascii="Times New Roman" w:hAnsi="Times New Roman" w:cs="Times New Roman"/>
          <w:color w:val="FF0000"/>
          <w:highlight w:val="none"/>
        </w:rPr>
        <w:fldChar w:fldCharType="end"/>
      </w:r>
      <w:r>
        <w:rPr>
          <w:rFonts w:hint="default" w:ascii="Times New Roman" w:hAnsi="Times New Roman" w:cs="Times New Roman"/>
          <w:color w:val="FF0000"/>
          <w:highlight w:val="none"/>
        </w:rPr>
        <w:t xml:space="preserve"> to statistically characterize the abundance information of genes in the corresponding samples. </w:t>
      </w:r>
      <w:r>
        <w:rPr>
          <w:rFonts w:hint="default" w:ascii="Times New Roman" w:hAnsi="Times New Roman" w:eastAsia="宋体" w:cs="Times New Roman"/>
          <w:color w:val="FF0000"/>
          <w:szCs w:val="21"/>
          <w:highlight w:val="none"/>
        </w:rPr>
        <w:t xml:space="preserve">Diamond (http://www.diamondsearch.org/index.php, version 0.8.35) </w:t>
      </w:r>
      <w:r>
        <w:rPr>
          <w:rFonts w:hint="default" w:ascii="Times New Roman" w:hAnsi="Times New Roman" w:eastAsia="宋体" w:cs="Times New Roman"/>
          <w:color w:val="FF0000"/>
          <w:szCs w:val="21"/>
          <w:highlight w:val="none"/>
        </w:rPr>
        <w:fldChar w:fldCharType="begin"/>
      </w:r>
      <w:r>
        <w:rPr>
          <w:rFonts w:hint="default" w:ascii="Times New Roman" w:hAnsi="Times New Roman" w:eastAsia="宋体" w:cs="Times New Roman"/>
          <w:color w:val="FF0000"/>
          <w:szCs w:val="21"/>
          <w:highlight w:val="none"/>
        </w:rPr>
        <w:instrText xml:space="preserve"> ADDIN EN.CITE &lt;EndNote&gt;&lt;Cite&gt;&lt;Author&gt;Buchfink&lt;/Author&gt;&lt;Year&gt;2015&lt;/Year&gt;&lt;RecNum&gt;2348&lt;/RecNum&gt;&lt;DisplayText&gt;(Buchfink et al. 2015)&lt;/DisplayText&gt;&lt;record&gt;&lt;rec-number&gt;2348&lt;/rec-number&gt;&lt;foreign-keys&gt;&lt;key app="EN" db-id="50wxdpzd9vd5r7e9t5b595djrfpttrxw9avp" timestamp="1744812011"&gt;2348&lt;/key&gt;&lt;/foreign-keys&gt;&lt;ref-type name="Journal Article"&gt;17&lt;/ref-type&gt;&lt;contributors&gt;&lt;authors&gt;&lt;author&gt;Buchfink, Benjamin&lt;/author&gt;&lt;author&gt;Xie, Chao&lt;/author&gt;&lt;author&gt;Huson, Daniel H.&lt;/author&gt;&lt;/authors&gt;&lt;/contributors&gt;&lt;titles&gt;&lt;title&gt;Fast and sensitive protein alignment using DIAMOND&lt;/title&gt;&lt;secondary-title&gt;Nature Methods&lt;/secondary-title&gt;&lt;/titles&gt;&lt;periodical&gt;&lt;full-title&gt;Nature Methods&lt;/full-title&gt;&lt;/periodical&gt;&lt;pages&gt;59-60&lt;/pages&gt;&lt;volume&gt;12&lt;/volume&gt;&lt;number&gt;1&lt;/number&gt;&lt;dates&gt;&lt;year&gt;2015&lt;/year&gt;&lt;pub-dates&gt;&lt;date&gt;2015/01/01&lt;/date&gt;&lt;/pub-dates&gt;&lt;/dates&gt;&lt;isbn&gt;1548-7105&lt;/isbn&gt;&lt;urls&gt;&lt;related-urls&gt;&lt;url&gt;https://doi.org/10.1038/nmeth.3176&lt;/url&gt;&lt;/related-urls&gt;&lt;/urls&gt;&lt;electronic-resource-num&gt;10.1038/nmeth.3176&lt;/electronic-resource-num&gt;&lt;/record&gt;&lt;/Cite&gt;&lt;/EndNote&gt;</w:instrText>
      </w:r>
      <w:r>
        <w:rPr>
          <w:rFonts w:hint="default" w:ascii="Times New Roman" w:hAnsi="Times New Roman" w:eastAsia="宋体" w:cs="Times New Roman"/>
          <w:color w:val="FF0000"/>
          <w:szCs w:val="21"/>
          <w:highlight w:val="none"/>
        </w:rPr>
        <w:fldChar w:fldCharType="separate"/>
      </w:r>
      <w:r>
        <w:rPr>
          <w:rFonts w:hint="default" w:ascii="Times New Roman" w:hAnsi="Times New Roman" w:eastAsia="宋体" w:cs="Times New Roman"/>
          <w:color w:val="FF0000"/>
          <w:szCs w:val="21"/>
          <w:highlight w:val="none"/>
        </w:rPr>
        <w:t>(Buchfink et al. 2015)</w:t>
      </w:r>
      <w:r>
        <w:rPr>
          <w:rFonts w:hint="default" w:ascii="Times New Roman" w:hAnsi="Times New Roman" w:eastAsia="宋体" w:cs="Times New Roman"/>
          <w:color w:val="FF0000"/>
          <w:szCs w:val="21"/>
          <w:highlight w:val="none"/>
        </w:rPr>
        <w:fldChar w:fldCharType="end"/>
      </w:r>
      <w:r>
        <w:rPr>
          <w:rFonts w:hint="default" w:ascii="Times New Roman" w:hAnsi="Times New Roman" w:eastAsia="宋体" w:cs="Times New Roman"/>
          <w:color w:val="FF0000"/>
          <w:szCs w:val="21"/>
          <w:highlight w:val="none"/>
        </w:rPr>
        <w:t xml:space="preserve"> was utilized to align amino acid sequences with the NR database (BLASTP with an e-value of 1eˉ</w:t>
      </w:r>
      <w:r>
        <w:rPr>
          <w:rFonts w:hint="default" w:ascii="Times New Roman" w:hAnsi="Times New Roman" w:eastAsia="宋体" w:cs="Times New Roman"/>
          <w:color w:val="FF0000"/>
          <w:szCs w:val="21"/>
          <w:highlight w:val="none"/>
          <w:vertAlign w:val="superscript"/>
        </w:rPr>
        <w:t>5</w:t>
      </w:r>
      <w:r>
        <w:rPr>
          <w:rFonts w:hint="default" w:ascii="Times New Roman" w:hAnsi="Times New Roman" w:eastAsia="宋体" w:cs="Times New Roman"/>
          <w:color w:val="FF0000"/>
          <w:szCs w:val="21"/>
          <w:highlight w:val="none"/>
        </w:rPr>
        <w:t>). Simultaneously, employing the taxonomic information database within the NR repository, we acquired species annotations. Ultimately, species abundance was computed by summing the gene abundances corresponding to the respective species. Additionally, Diamond was employed to align amino acid sequences with the KEGG database (BLASTP with an e-value of 1eˉ</w:t>
      </w:r>
      <w:r>
        <w:rPr>
          <w:rFonts w:hint="default" w:ascii="Times New Roman" w:hAnsi="Times New Roman" w:eastAsia="宋体" w:cs="Times New Roman"/>
          <w:color w:val="FF0000"/>
          <w:szCs w:val="21"/>
          <w:highlight w:val="none"/>
          <w:vertAlign w:val="superscript"/>
        </w:rPr>
        <w:t>5</w:t>
      </w:r>
      <w:r>
        <w:rPr>
          <w:rFonts w:hint="default" w:ascii="Times New Roman" w:hAnsi="Times New Roman" w:eastAsia="宋体" w:cs="Times New Roman"/>
          <w:color w:val="FF0000"/>
          <w:szCs w:val="21"/>
          <w:highlight w:val="none"/>
        </w:rPr>
        <w:t>), providing the KEGG functions associated with the respective genes. The abundances of functional categories were calculated by summing the abundances of genes corresponding to KO, Pathway, EC, and Module.</w:t>
      </w:r>
    </w:p>
    <w:p>
      <w:pPr>
        <w:rPr>
          <w:rFonts w:hint="default" w:ascii="Times New Roman" w:hAnsi="Times New Roman" w:cs="Times New Roman"/>
          <w:szCs w:val="21"/>
        </w:rPr>
      </w:pPr>
      <w:r>
        <w:rPr>
          <w:rFonts w:hint="default" w:ascii="Times New Roman" w:hAnsi="Times New Roman" w:cs="Times New Roman"/>
          <w:szCs w:val="21"/>
        </w:rPr>
        <w:br w:type="page"/>
      </w:r>
    </w:p>
    <w:p>
      <w:pPr>
        <w:snapToGrid w:val="0"/>
        <w:spacing w:line="480" w:lineRule="auto"/>
        <w:jc w:val="left"/>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Figures: </w:t>
      </w:r>
    </w:p>
    <w:p>
      <w:pPr>
        <w:widowControl/>
        <w:ind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599815" cy="1715135"/>
            <wp:effectExtent l="0" t="0" r="635" b="18415"/>
            <wp:docPr id="3" name="图片 3" descr="实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实物"/>
                    <pic:cNvPicPr>
                      <a:picLocks noChangeAspect="1"/>
                    </pic:cNvPicPr>
                  </pic:nvPicPr>
                  <pic:blipFill>
                    <a:blip r:embed="rId10"/>
                    <a:srcRect l="17248" t="25556" r="38379" b="24501"/>
                    <a:stretch>
                      <a:fillRect/>
                    </a:stretch>
                  </pic:blipFill>
                  <pic:spPr>
                    <a:xfrm>
                      <a:off x="0" y="0"/>
                      <a:ext cx="3599815" cy="1715135"/>
                    </a:xfrm>
                    <a:prstGeom prst="rect">
                      <a:avLst/>
                    </a:prstGeom>
                  </pic:spPr>
                </pic:pic>
              </a:graphicData>
            </a:graphic>
          </wp:inline>
        </w:drawing>
      </w:r>
    </w:p>
    <w:p>
      <w:pPr>
        <w:widowControl/>
        <w:ind w:firstLine="420"/>
        <w:jc w:val="center"/>
        <w:rPr>
          <w:rFonts w:hint="default" w:ascii="Times New Roman" w:hAnsi="Times New Roman" w:eastAsia="宋体" w:cs="Times New Roman"/>
        </w:rPr>
      </w:pPr>
      <w:r>
        <w:rPr>
          <w:rFonts w:hint="default" w:ascii="Times New Roman" w:hAnsi="Times New Roman" w:eastAsia="宋体" w:cs="Times New Roman"/>
          <w:b/>
          <w:bCs/>
        </w:rPr>
        <w:t>Fig. S1</w:t>
      </w:r>
      <w:r>
        <w:rPr>
          <w:rFonts w:hint="default" w:ascii="Times New Roman" w:hAnsi="Times New Roman" w:eastAsia="宋体" w:cs="Times New Roman"/>
        </w:rPr>
        <w:t>. Images of (a) CGW and (b) inoculation sludge.</w:t>
      </w:r>
    </w:p>
    <w:p>
      <w:pPr>
        <w:rPr>
          <w:rFonts w:hint="default" w:ascii="Times New Roman" w:hAnsi="Times New Roman" w:eastAsia="宋体" w:cs="Times New Roman"/>
        </w:rPr>
      </w:pPr>
      <w:r>
        <w:rPr>
          <w:rFonts w:hint="default" w:ascii="Times New Roman" w:hAnsi="Times New Roman" w:eastAsia="宋体" w:cs="Times New Roman"/>
        </w:rPr>
        <w:br w:type="page"/>
      </w:r>
    </w:p>
    <w:p>
      <w:pPr>
        <w:widowControl/>
        <w:ind w:firstLine="420"/>
        <w:jc w:val="center"/>
        <w:rPr>
          <w:rFonts w:hint="default" w:ascii="Times New Roman" w:hAnsi="Times New Roman" w:eastAsia="宋体" w:cs="Times New Roman"/>
        </w:rPr>
      </w:pPr>
      <w:r>
        <w:rPr>
          <w:rFonts w:hint="default" w:ascii="Times New Roman" w:hAnsi="Times New Roman" w:cs="Times New Roman"/>
        </w:rPr>
        <w:drawing>
          <wp:inline distT="0" distB="0" distL="114300" distR="114300">
            <wp:extent cx="2165350" cy="2879725"/>
            <wp:effectExtent l="0" t="0" r="6350" b="158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rcRect l="3547" t="5506" r="2604" b="887"/>
                    <a:stretch>
                      <a:fillRect/>
                    </a:stretch>
                  </pic:blipFill>
                  <pic:spPr>
                    <a:xfrm>
                      <a:off x="0" y="0"/>
                      <a:ext cx="2165350" cy="2879725"/>
                    </a:xfrm>
                    <a:prstGeom prst="rect">
                      <a:avLst/>
                    </a:prstGeom>
                  </pic:spPr>
                </pic:pic>
              </a:graphicData>
            </a:graphic>
          </wp:inline>
        </w:drawing>
      </w:r>
    </w:p>
    <w:p>
      <w:pPr>
        <w:widowControl/>
        <w:ind w:firstLine="422" w:firstLineChars="200"/>
        <w:jc w:val="center"/>
        <w:rPr>
          <w:rFonts w:hint="default" w:ascii="Times New Roman" w:hAnsi="Times New Roman" w:eastAsia="宋体" w:cs="Times New Roman"/>
        </w:rPr>
      </w:pPr>
      <w:r>
        <w:rPr>
          <w:rFonts w:hint="default" w:ascii="Times New Roman" w:hAnsi="Times New Roman" w:eastAsia="宋体" w:cs="Times New Roman"/>
          <w:b/>
          <w:bCs/>
        </w:rPr>
        <w:t>Fig. S2</w:t>
      </w:r>
      <w:r>
        <w:rPr>
          <w:rFonts w:hint="default" w:ascii="Times New Roman" w:hAnsi="Times New Roman" w:eastAsia="宋体" w:cs="Times New Roman"/>
        </w:rPr>
        <w:t>. Image of the set-up of the micro-aeration HA process for CGW treatment.</w:t>
      </w:r>
    </w:p>
    <w:p>
      <w:pPr>
        <w:widowControl/>
        <w:ind w:firstLine="420"/>
        <w:jc w:val="center"/>
        <w:rPr>
          <w:rFonts w:hint="default" w:ascii="Times New Roman" w:hAnsi="Times New Roman" w:cs="Times New Roman"/>
        </w:rPr>
      </w:pPr>
    </w:p>
    <w:p>
      <w:pPr>
        <w:jc w:val="center"/>
        <w:rPr>
          <w:rFonts w:hint="default" w:ascii="Times New Roman" w:hAnsi="Times New Roman" w:cs="Times New Roman"/>
        </w:rPr>
      </w:pPr>
      <w:r>
        <w:rPr>
          <w:rFonts w:hint="default" w:ascii="Times New Roman" w:hAnsi="Times New Roman" w:cs="Times New Roman"/>
          <w:szCs w:val="21"/>
        </w:rPr>
        <w:br w:type="page"/>
      </w:r>
      <w:r>
        <w:rPr>
          <w:rFonts w:hint="default" w:ascii="Times New Roman" w:hAnsi="Times New Roman" w:cs="Times New Roman"/>
        </w:rPr>
        <w:object>
          <v:shape id="_x0000_i1028" o:spt="75" type="#_x0000_t75" style="height:227pt;width:283.5pt;" o:ole="t" filled="f" o:preferrelative="t" stroked="f" coordsize="21600,21600">
            <v:path/>
            <v:fill on="f" focussize="0,0"/>
            <v:stroke on="f" joinstyle="miter"/>
            <v:imagedata r:id="rId13" cropleft="1452f" croptop="5530f" cropright="7935f" cropbottom="2415f" o:title=""/>
            <o:lock v:ext="edit" aspectratio="f"/>
            <w10:wrap type="none"/>
            <w10:anchorlock/>
          </v:shape>
          <o:OLEObject Type="Embed" ProgID="Origin95.Graph" ShapeID="_x0000_i1028" DrawAspect="Content" ObjectID="_1468075728" r:id="rId12">
            <o:LockedField>false</o:LockedField>
          </o:OLEObject>
        </w:object>
      </w:r>
      <w:r>
        <w:rPr>
          <w:rFonts w:hint="default" w:ascii="Times New Roman" w:hAnsi="Times New Roman" w:cs="Times New Roman"/>
        </w:rPr>
        <w:object>
          <v:shape id="_x0000_i1029" o:spt="75" type="#_x0000_t75" style="height:220.1pt;width:295.55pt;" o:ole="t" filled="f" o:preferrelative="t" stroked="f" coordsize="21600,21600">
            <v:path/>
            <v:fill on="f" focussize="0,0"/>
            <v:stroke on="f"/>
            <v:imagedata r:id="rId15" cropleft="1593f" croptop="5738f" cropright="7921f" cropbottom="2972f" o:title=""/>
            <o:lock v:ext="edit" aspectratio="f"/>
            <w10:wrap type="none"/>
            <w10:anchorlock/>
          </v:shape>
          <o:OLEObject Type="Embed" ProgID="Origin95.Graph" ShapeID="_x0000_i1029" DrawAspect="Content" ObjectID="_1468075729" r:id="rId14">
            <o:LockedField>false</o:LockedField>
          </o:OLEObject>
        </w:object>
      </w:r>
      <w:r>
        <w:rPr>
          <w:rFonts w:hint="default" w:ascii="Times New Roman" w:hAnsi="Times New Roman" w:cs="Times New Roman"/>
        </w:rPr>
        <w:object>
          <v:shape id="_x0000_i1030" o:spt="75" type="#_x0000_t75" style="height:227pt;width:283.5pt;" o:ole="t" filled="f" o:preferrelative="t" stroked="f" coordsize="21600,21600">
            <v:path/>
            <v:fill on="f" focussize="0,0"/>
            <v:stroke on="f" joinstyle="miter"/>
            <v:imagedata r:id="rId17" cropleft="2917f" croptop="5881f" cropright="7794f" cropbottom="2415f" o:title=""/>
            <o:lock v:ext="edit" aspectratio="f"/>
            <w10:wrap type="none"/>
            <w10:anchorlock/>
          </v:shape>
          <o:OLEObject Type="Embed" ProgID="Origin95.Graph" ShapeID="_x0000_i1030" DrawAspect="Content" ObjectID="_1468075730" r:id="rId16">
            <o:LockedField>false</o:LockedField>
          </o:OLEObject>
        </w:object>
      </w:r>
      <w:r>
        <w:rPr>
          <w:rFonts w:hint="default" w:ascii="Times New Roman" w:hAnsi="Times New Roman" w:cs="Times New Roman"/>
        </w:rPr>
        <w:object>
          <v:shape id="_x0000_i1031" o:spt="75" type="#_x0000_t75" style="height:227pt;width:283.5pt;" o:ole="t" filled="f" o:preferrelative="t" stroked="f" coordsize="21600,21600">
            <v:path/>
            <v:fill on="f" focussize="0,0"/>
            <v:stroke on="f" joinstyle="miter"/>
            <v:imagedata r:id="rId19" cropleft="2776f" croptop="5881f" cropright="7935f" cropbottom="2249f" o:title=""/>
            <o:lock v:ext="edit" aspectratio="f"/>
            <w10:wrap type="none"/>
            <w10:anchorlock/>
          </v:shape>
          <o:OLEObject Type="Embed" ProgID="Origin95.Graph" ShapeID="_x0000_i1031" DrawAspect="Content" ObjectID="_1468075731" r:id="rId18">
            <o:LockedField>false</o:LockedField>
          </o:OLEObject>
        </w:object>
      </w:r>
    </w:p>
    <w:p>
      <w:pPr>
        <w:jc w:val="center"/>
        <w:rPr>
          <w:rFonts w:hint="default" w:ascii="Times New Roman" w:hAnsi="Times New Roman" w:cs="Times New Roman"/>
        </w:rPr>
      </w:pPr>
      <w:r>
        <w:rPr>
          <w:rFonts w:hint="default" w:ascii="Times New Roman" w:hAnsi="Times New Roman" w:cs="Times New Roman"/>
          <w:b/>
          <w:bCs/>
        </w:rPr>
        <w:t>Fig. S3</w:t>
      </w:r>
      <w:r>
        <w:rPr>
          <w:rFonts w:hint="default" w:ascii="Times New Roman" w:hAnsi="Times New Roman" w:cs="Times New Roman"/>
        </w:rPr>
        <w:t>. Effect of MAHA and anaerobic HA on the (a) COD, (b) TOC, (c) NH</w:t>
      </w:r>
      <w:r>
        <w:rPr>
          <w:rFonts w:hint="default" w:ascii="Times New Roman" w:hAnsi="Times New Roman" w:cs="Times New Roman"/>
          <w:vertAlign w:val="subscript"/>
        </w:rPr>
        <w:t>3</w:t>
      </w:r>
      <w:r>
        <w:rPr>
          <w:rFonts w:hint="default" w:ascii="Times New Roman" w:hAnsi="Times New Roman" w:cs="Times New Roman"/>
        </w:rPr>
        <w:t>-N and Tph removal efficiencies of CGW.</w:t>
      </w:r>
    </w:p>
    <w:p>
      <w:pPr>
        <w:jc w:val="center"/>
        <w:rPr>
          <w:rFonts w:hint="default" w:ascii="Times New Roman" w:hAnsi="Times New Roman" w:cs="Times New Roman"/>
        </w:rPr>
      </w:pPr>
      <w:r>
        <w:rPr>
          <w:rFonts w:hint="default" w:ascii="Times New Roman" w:hAnsi="Times New Roman" w:cs="Times New Roman"/>
          <w:szCs w:val="21"/>
        </w:rPr>
        <w:br w:type="page"/>
      </w:r>
      <w:r>
        <w:rPr>
          <w:rFonts w:hint="default" w:ascii="Times New Roman" w:hAnsi="Times New Roman" w:cs="Times New Roman"/>
        </w:rPr>
        <w:drawing>
          <wp:inline distT="0" distB="0" distL="114300" distR="114300">
            <wp:extent cx="3599815" cy="2879725"/>
            <wp:effectExtent l="0" t="0" r="0" b="15875"/>
            <wp:docPr id="2" name="图片 18"/>
            <wp:cNvGraphicFramePr/>
            <a:graphic xmlns:a="http://schemas.openxmlformats.org/drawingml/2006/main">
              <a:graphicData uri="http://schemas.openxmlformats.org/drawingml/2006/picture">
                <pic:pic xmlns:pic="http://schemas.openxmlformats.org/drawingml/2006/picture">
                  <pic:nvPicPr>
                    <pic:cNvPr id="2" name="图片 18"/>
                    <pic:cNvPicPr/>
                  </pic:nvPicPr>
                  <pic:blipFill>
                    <a:blip r:embed="rId20"/>
                    <a:srcRect l="3011" t="9001" r="12473" b="3376"/>
                    <a:stretch>
                      <a:fillRect/>
                    </a:stretch>
                  </pic:blipFill>
                  <pic:spPr>
                    <a:xfrm>
                      <a:off x="0" y="0"/>
                      <a:ext cx="3599815" cy="2879725"/>
                    </a:xfrm>
                    <a:prstGeom prst="rect">
                      <a:avLst/>
                    </a:prstGeom>
                    <a:noFill/>
                    <a:ln>
                      <a:noFill/>
                    </a:ln>
                  </pic:spPr>
                </pic:pic>
              </a:graphicData>
            </a:graphic>
          </wp:inline>
        </w:drawing>
      </w:r>
    </w:p>
    <w:p>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959860" cy="2879725"/>
            <wp:effectExtent l="0" t="0" r="0" b="0"/>
            <wp:docPr id="5" name="图片 19"/>
            <wp:cNvGraphicFramePr/>
            <a:graphic xmlns:a="http://schemas.openxmlformats.org/drawingml/2006/main">
              <a:graphicData uri="http://schemas.openxmlformats.org/drawingml/2006/picture">
                <pic:pic xmlns:pic="http://schemas.openxmlformats.org/drawingml/2006/picture">
                  <pic:nvPicPr>
                    <pic:cNvPr id="5" name="图片 19"/>
                    <pic:cNvPicPr/>
                  </pic:nvPicPr>
                  <pic:blipFill>
                    <a:blip r:embed="rId21"/>
                    <a:srcRect l="2222" t="10101" r="13131" b="3463"/>
                    <a:stretch>
                      <a:fillRect/>
                    </a:stretch>
                  </pic:blipFill>
                  <pic:spPr>
                    <a:xfrm>
                      <a:off x="0" y="0"/>
                      <a:ext cx="3959860" cy="2879725"/>
                    </a:xfrm>
                    <a:prstGeom prst="rect">
                      <a:avLst/>
                    </a:prstGeom>
                    <a:noFill/>
                    <a:ln>
                      <a:noFill/>
                    </a:ln>
                  </pic:spPr>
                </pic:pic>
              </a:graphicData>
            </a:graphic>
          </wp:inline>
        </w:drawing>
      </w:r>
    </w:p>
    <w:p>
      <w:pPr>
        <w:jc w:val="center"/>
        <w:rPr>
          <w:rFonts w:hint="default" w:ascii="Times New Roman" w:hAnsi="Times New Roman" w:cs="Times New Roman"/>
          <w:color w:val="FF0000"/>
          <w:highlight w:val="none"/>
        </w:rPr>
      </w:pPr>
      <w:r>
        <w:rPr>
          <w:rFonts w:hint="default" w:ascii="Times New Roman" w:hAnsi="Times New Roman" w:cs="Times New Roman"/>
          <w:b/>
          <w:bCs/>
          <w:color w:val="FF0000"/>
          <w:highlight w:val="none"/>
        </w:rPr>
        <w:t>Fig. S4.</w:t>
      </w:r>
      <w:r>
        <w:rPr>
          <w:rFonts w:hint="default" w:ascii="Times New Roman" w:hAnsi="Times New Roman" w:cs="Times New Roman"/>
          <w:color w:val="FF0000"/>
          <w:highlight w:val="none"/>
        </w:rPr>
        <w:t xml:space="preserve"> The removal efficiencies of COD (a) and the BOD/COD ratio (b) under various DO concentrations.</w:t>
      </w:r>
    </w:p>
    <w:p>
      <w:pPr>
        <w:jc w:val="center"/>
        <w:rPr>
          <w:rFonts w:hint="default" w:ascii="Times New Roman" w:hAnsi="Times New Roman" w:cs="Times New Roman"/>
        </w:rPr>
      </w:pPr>
    </w:p>
    <w:p>
      <w:pPr>
        <w:rPr>
          <w:rFonts w:hint="default" w:ascii="Times New Roman" w:hAnsi="Times New Roman" w:cs="Times New Roman"/>
          <w:szCs w:val="21"/>
        </w:rPr>
      </w:pPr>
      <w:r>
        <w:rPr>
          <w:rFonts w:hint="default" w:ascii="Times New Roman" w:hAnsi="Times New Roman" w:cs="Times New Roman"/>
          <w:szCs w:val="21"/>
        </w:rPr>
        <w:br w:type="page"/>
      </w:r>
    </w:p>
    <w:p>
      <w:pPr>
        <w:jc w:val="center"/>
        <w:rPr>
          <w:rFonts w:hint="default" w:ascii="Times New Roman" w:hAnsi="Times New Roman" w:cs="Times New Roman"/>
        </w:rPr>
      </w:pPr>
      <w:r>
        <w:rPr>
          <w:rFonts w:hint="default" w:ascii="Times New Roman" w:hAnsi="Times New Roman" w:cs="Times New Roman"/>
        </w:rPr>
        <w:object>
          <v:shape id="_x0000_i1032" o:spt="75" type="#_x0000_t75" style="height:227pt;width:283.5pt;" o:ole="t" filled="f" o:preferrelative="t" stroked="f" coordsize="21600,21600">
            <v:path/>
            <v:fill on="f" focussize="0,0"/>
            <v:stroke on="f" joinstyle="miter"/>
            <v:imagedata r:id="rId23" cropleft="3171f" croptop="5530f" cropright="8146f" cropbottom="2175f" o:title=""/>
            <o:lock v:ext="edit" aspectratio="f"/>
            <w10:wrap type="none"/>
            <w10:anchorlock/>
          </v:shape>
          <o:OLEObject Type="Embed" ProgID="Origin95.Graph" ShapeID="_x0000_i1032" DrawAspect="Content" ObjectID="_1468075732" r:id="rId22">
            <o:LockedField>false</o:LockedField>
          </o:OLEObject>
        </w:object>
      </w:r>
    </w:p>
    <w:p>
      <w:pPr>
        <w:jc w:val="center"/>
        <w:rPr>
          <w:rFonts w:hint="default" w:ascii="Times New Roman" w:hAnsi="Times New Roman" w:cs="Times New Roman"/>
        </w:rPr>
      </w:pPr>
      <w:r>
        <w:rPr>
          <w:rFonts w:hint="default" w:ascii="Times New Roman" w:hAnsi="Times New Roman" w:cs="Times New Roman"/>
        </w:rPr>
        <w:object>
          <v:shape id="_x0000_i1033" o:spt="75" type="#_x0000_t75" style="height:227pt;width:283.5pt;" o:ole="t" filled="f" o:preferrelative="t" stroked="f" coordsize="21600,21600">
            <v:path/>
            <v:fill on="f" focussize="0,0"/>
            <v:stroke on="f" joinstyle="miter"/>
            <v:imagedata r:id="rId25" cropleft="1804f" croptop="5328f" cropright="8005f" cropbottom="2175f" o:title=""/>
            <o:lock v:ext="edit" aspectratio="f"/>
            <w10:wrap type="none"/>
            <w10:anchorlock/>
          </v:shape>
          <o:OLEObject Type="Embed" ProgID="Origin95.Graph" ShapeID="_x0000_i1033" DrawAspect="Content" ObjectID="_1468075733" r:id="rId24">
            <o:LockedField>false</o:LockedField>
          </o:OLEObject>
        </w:object>
      </w:r>
    </w:p>
    <w:p>
      <w:pPr>
        <w:jc w:val="center"/>
        <w:rPr>
          <w:rFonts w:hint="default" w:ascii="Times New Roman" w:hAnsi="Times New Roman" w:cs="Times New Roman"/>
        </w:rPr>
      </w:pPr>
      <w:r>
        <w:rPr>
          <w:rFonts w:hint="default" w:ascii="Times New Roman" w:hAnsi="Times New Roman" w:cs="Times New Roman"/>
        </w:rPr>
        <w:object>
          <v:shape id="_x0000_i1034" o:spt="75" type="#_x0000_t75" style="height:227pt;width:283.5pt;" o:ole="t" filled="f" o:preferrelative="t" stroked="f" coordsize="21600,21600">
            <v:path/>
            <v:fill on="f" focussize="0,0"/>
            <v:stroke on="f" joinstyle="miter"/>
            <v:imagedata r:id="rId27" cropleft="3918f" croptop="5530f" cropright="8146f" cropbottom="2175f" o:title=""/>
            <o:lock v:ext="edit" aspectratio="f"/>
            <w10:wrap type="none"/>
            <w10:anchorlock/>
          </v:shape>
          <o:OLEObject Type="Embed" ProgID="Origin95.Graph" ShapeID="_x0000_i1034" DrawAspect="Content" ObjectID="_1468075734" r:id="rId26">
            <o:LockedField>false</o:LockedField>
          </o:OLEObject>
        </w:object>
      </w:r>
      <w:bookmarkStart w:id="8" w:name="_GoBack"/>
      <w:bookmarkEnd w:id="8"/>
    </w:p>
    <w:p>
      <w:pPr>
        <w:jc w:val="center"/>
        <w:rPr>
          <w:rFonts w:hint="default" w:ascii="Times New Roman" w:hAnsi="Times New Roman" w:cs="Times New Roman"/>
        </w:rPr>
      </w:pPr>
      <w:r>
        <w:rPr>
          <w:rFonts w:hint="default" w:ascii="Times New Roman" w:hAnsi="Times New Roman" w:cs="Times New Roman"/>
          <w:b/>
          <w:bCs/>
        </w:rPr>
        <w:t>Fig. S</w:t>
      </w:r>
      <w:r>
        <w:rPr>
          <w:rFonts w:hint="eastAsia" w:ascii="Times New Roman" w:hAnsi="Times New Roman" w:cs="Times New Roman"/>
          <w:b/>
          <w:bCs/>
          <w:color w:val="FF0000"/>
          <w:highlight w:val="none"/>
          <w:lang w:val="en-US" w:eastAsia="zh-CN"/>
        </w:rPr>
        <w:t>5</w:t>
      </w:r>
      <w:r>
        <w:rPr>
          <w:rFonts w:hint="default" w:ascii="Times New Roman" w:hAnsi="Times New Roman" w:cs="Times New Roman"/>
        </w:rPr>
        <w:t>. Variation</w:t>
      </w:r>
      <w:r>
        <w:rPr>
          <w:rFonts w:hint="eastAsia" w:ascii="Times New Roman" w:hAnsi="Times New Roman" w:cs="Times New Roman"/>
          <w:lang w:val="en-US" w:eastAsia="zh-CN"/>
        </w:rPr>
        <w:t>s</w:t>
      </w:r>
      <w:r>
        <w:rPr>
          <w:rFonts w:hint="default" w:ascii="Times New Roman" w:hAnsi="Times New Roman" w:cs="Times New Roman"/>
        </w:rPr>
        <w:t xml:space="preserve"> of (a) DO, (b) ORP and (c) pH values in different bioreactors.</w:t>
      </w:r>
    </w:p>
    <w:p>
      <w:pPr>
        <w:rPr>
          <w:rFonts w:hint="default" w:ascii="Times New Roman" w:hAnsi="Times New Roman" w:cs="Times New Roman"/>
          <w:szCs w:val="21"/>
        </w:rPr>
      </w:pPr>
    </w:p>
    <w:p>
      <w:pPr>
        <w:jc w:val="center"/>
        <w:rPr>
          <w:rFonts w:hint="default" w:ascii="Times New Roman" w:hAnsi="Times New Roman" w:cs="Times New Roman"/>
        </w:rPr>
      </w:pPr>
      <w:r>
        <w:rPr>
          <w:rFonts w:hint="default" w:ascii="Times New Roman" w:hAnsi="Times New Roman" w:eastAsia="宋体" w:cs="Times New Roman"/>
          <w:b/>
          <w:sz w:val="30"/>
          <w:szCs w:val="30"/>
        </w:rPr>
        <w:br w:type="page"/>
      </w:r>
      <w:r>
        <w:rPr>
          <w:rFonts w:hint="default" w:ascii="Times New Roman" w:hAnsi="Times New Roman" w:cs="Times New Roman"/>
        </w:rPr>
        <w:object>
          <v:shape id="_x0000_i1035" o:spt="75" type="#_x0000_t75" style="height:227pt;width:283.5pt;" o:ole="t" filled="f" o:preferrelative="t" stroked="f" coordsize="21600,21600">
            <v:path/>
            <v:fill on="f" focussize="0,0"/>
            <v:stroke on="f" joinstyle="miter"/>
            <v:imagedata r:id="rId29" cropleft="3383f" croptop="5899f" cropright="8456f" cropbottom="1659f" o:title=""/>
            <o:lock v:ext="edit" aspectratio="f"/>
            <w10:wrap type="none"/>
            <w10:anchorlock/>
          </v:shape>
          <o:OLEObject Type="Embed" ProgID="Origin95.Graph" ShapeID="_x0000_i1035" DrawAspect="Content" ObjectID="_1468075735" r:id="rId28">
            <o:LockedField>false</o:LockedField>
          </o:OLEObject>
        </w:object>
      </w:r>
    </w:p>
    <w:p>
      <w:pPr>
        <w:jc w:val="center"/>
        <w:rPr>
          <w:rFonts w:hint="default" w:ascii="Times New Roman" w:hAnsi="Times New Roman" w:cs="Times New Roman"/>
        </w:rPr>
      </w:pPr>
      <w:r>
        <w:rPr>
          <w:rFonts w:hint="default" w:ascii="Times New Roman" w:hAnsi="Times New Roman" w:cs="Times New Roman"/>
        </w:rPr>
        <w:object>
          <v:shape id="_x0000_i1036" o:spt="75" type="#_x0000_t75" style="height:227pt;width:283.5pt;" o:ole="t" filled="f" o:preferrelative="t" stroked="f" coordsize="21600,21600">
            <v:path/>
            <v:fill on="f" focussize="0,0"/>
            <v:stroke on="f" joinstyle="miter"/>
            <v:imagedata r:id="rId31" cropleft="5356f" croptop="6084f" cropright="7752f" cropbottom="2397f" o:title=""/>
            <o:lock v:ext="edit" aspectratio="f"/>
            <w10:wrap type="none"/>
            <w10:anchorlock/>
          </v:shape>
          <o:OLEObject Type="Embed" ProgID="Origin95.Graph" ShapeID="_x0000_i1036" DrawAspect="Content" ObjectID="_1468075736" r:id="rId30">
            <o:LockedField>false</o:LockedField>
          </o:OLEObject>
        </w:object>
      </w:r>
    </w:p>
    <w:p>
      <w:pPr>
        <w:spacing w:line="360" w:lineRule="auto"/>
        <w:jc w:val="center"/>
        <w:rPr>
          <w:rFonts w:hint="default" w:ascii="Times New Roman" w:hAnsi="Times New Roman" w:cs="Times New Roman"/>
          <w:highlight w:val="none"/>
        </w:rPr>
      </w:pPr>
      <w:r>
        <w:rPr>
          <w:rFonts w:hint="default" w:ascii="Times New Roman" w:hAnsi="Times New Roman" w:cs="Times New Roman"/>
          <w:b/>
          <w:bCs/>
          <w:highlight w:val="none"/>
        </w:rPr>
        <w:t>Fig. S</w:t>
      </w:r>
      <w:r>
        <w:rPr>
          <w:rFonts w:hint="eastAsia" w:ascii="Times New Roman" w:hAnsi="Times New Roman" w:cs="Times New Roman"/>
          <w:b/>
          <w:bCs/>
          <w:highlight w:val="none"/>
          <w:lang w:val="en-US" w:eastAsia="zh-CN"/>
        </w:rPr>
        <w:t>6</w:t>
      </w:r>
      <w:r>
        <w:rPr>
          <w:rFonts w:hint="default" w:ascii="Times New Roman" w:hAnsi="Times New Roman" w:cs="Times New Roman"/>
          <w:highlight w:val="none"/>
        </w:rPr>
        <w:t xml:space="preserve">. (a) Inhibition rate of CGW in different reactors on </w:t>
      </w:r>
      <w:r>
        <w:rPr>
          <w:rFonts w:hint="default" w:ascii="Times New Roman" w:hAnsi="Times New Roman" w:cs="Times New Roman"/>
          <w:i/>
          <w:iCs/>
          <w:highlight w:val="none"/>
        </w:rPr>
        <w:t>photobacterium</w:t>
      </w:r>
      <w:r>
        <w:rPr>
          <w:rFonts w:hint="default" w:ascii="Times New Roman" w:hAnsi="Times New Roman" w:cs="Times New Roman"/>
          <w:highlight w:val="none"/>
        </w:rPr>
        <w:t xml:space="preserve"> </w:t>
      </w:r>
      <w:r>
        <w:rPr>
          <w:rFonts w:hint="default" w:ascii="Times New Roman" w:hAnsi="Times New Roman" w:cs="Times New Roman"/>
          <w:i/>
          <w:iCs/>
          <w:highlight w:val="none"/>
        </w:rPr>
        <w:t>luminescens</w:t>
      </w:r>
      <w:r>
        <w:rPr>
          <w:rFonts w:hint="default" w:ascii="Times New Roman" w:hAnsi="Times New Roman" w:cs="Times New Roman"/>
          <w:highlight w:val="none"/>
        </w:rPr>
        <w:t xml:space="preserve"> T3; (b) Date fitting of OIR under different DO concentrations.</w:t>
      </w:r>
    </w:p>
    <w:p>
      <w:pPr>
        <w:rPr>
          <w:rFonts w:hint="default" w:ascii="Times New Roman" w:hAnsi="Times New Roman" w:eastAsia="宋体" w:cs="Times New Roman"/>
          <w:b/>
          <w:sz w:val="30"/>
          <w:szCs w:val="30"/>
          <w:highlight w:val="none"/>
        </w:rPr>
      </w:pPr>
      <w:r>
        <w:rPr>
          <w:rFonts w:hint="default" w:ascii="Times New Roman" w:hAnsi="Times New Roman" w:eastAsia="宋体" w:cs="Times New Roman"/>
          <w:b/>
          <w:sz w:val="30"/>
          <w:szCs w:val="30"/>
          <w:highlight w:val="none"/>
        </w:rPr>
        <w:br w:type="page"/>
      </w:r>
    </w:p>
    <w:p>
      <w:pPr>
        <w:tabs>
          <w:tab w:val="center" w:pos="4212"/>
          <w:tab w:val="left" w:pos="7607"/>
        </w:tabs>
        <w:jc w:val="center"/>
        <w:rPr>
          <w:rFonts w:hint="default" w:ascii="Times New Roman" w:hAnsi="Times New Roman" w:cs="Times New Roman"/>
          <w:highlight w:val="none"/>
        </w:rPr>
      </w:pPr>
      <w:r>
        <w:rPr>
          <w:rFonts w:hint="default" w:ascii="Times New Roman" w:hAnsi="Times New Roman" w:cs="Times New Roman"/>
          <w:highlight w:val="none"/>
        </w:rPr>
        <w:object>
          <v:shape id="_x0000_i1037" o:spt="75" type="#_x0000_t75" style="height:227pt;width:283.5pt;" o:ole="t" filled="f" o:preferrelative="t" stroked="f" coordsize="21600,21600">
            <v:path/>
            <v:fill on="f" focussize="0,0"/>
            <v:stroke on="f" joinstyle="miter"/>
            <v:imagedata r:id="rId33" cropleft="2114f" croptop="5162f" cropright="8033f" cropbottom="2397f" o:title=""/>
            <o:lock v:ext="edit" aspectratio="f"/>
            <w10:wrap type="none"/>
            <w10:anchorlock/>
          </v:shape>
          <o:OLEObject Type="Embed" ProgID="Origin95.Graph" ShapeID="_x0000_i1037" DrawAspect="Content" ObjectID="_1468075737" r:id="rId32">
            <o:LockedField>false</o:LockedField>
          </o:OLEObject>
        </w:object>
      </w:r>
    </w:p>
    <w:p>
      <w:pPr>
        <w:jc w:val="center"/>
        <w:rPr>
          <w:rFonts w:hint="default" w:ascii="Times New Roman" w:hAnsi="Times New Roman" w:cs="Times New Roman"/>
          <w:highlight w:val="none"/>
        </w:rPr>
      </w:pPr>
      <w:r>
        <w:rPr>
          <w:rFonts w:hint="default" w:ascii="Times New Roman" w:hAnsi="Times New Roman" w:cs="Times New Roman"/>
          <w:highlight w:val="none"/>
        </w:rPr>
        <w:object>
          <v:shape id="_x0000_i1038" o:spt="75" type="#_x0000_t75" style="height:227pt;width:283.5pt;" o:ole="t" filled="f" o:preferrelative="t" stroked="f" coordsize="21600,21600">
            <v:path/>
            <v:fill on="f" focussize="0,0"/>
            <v:stroke on="f" joinstyle="miter"/>
            <v:imagedata r:id="rId35" cropleft="2960f" croptop="5715f" cropright="8033f" cropbottom="2212f" o:title=""/>
            <o:lock v:ext="edit" aspectratio="f"/>
            <w10:wrap type="none"/>
            <w10:anchorlock/>
          </v:shape>
          <o:OLEObject Type="Embed" ProgID="Origin95.Graph" ShapeID="_x0000_i1038" DrawAspect="Content" ObjectID="_1468075738" r:id="rId34">
            <o:LockedField>false</o:LockedField>
          </o:OLEObject>
        </w:object>
      </w:r>
    </w:p>
    <w:p>
      <w:pPr>
        <w:spacing w:line="360" w:lineRule="auto"/>
        <w:jc w:val="center"/>
        <w:rPr>
          <w:rFonts w:hint="default" w:ascii="Times New Roman" w:hAnsi="Times New Roman" w:cs="Times New Roman"/>
          <w:highlight w:val="none"/>
        </w:rPr>
      </w:pPr>
      <w:r>
        <w:rPr>
          <w:rFonts w:hint="default" w:ascii="Times New Roman" w:hAnsi="Times New Roman" w:cs="Times New Roman"/>
          <w:b/>
          <w:bCs/>
          <w:highlight w:val="none"/>
        </w:rPr>
        <w:t>Fig. S</w:t>
      </w:r>
      <w:r>
        <w:rPr>
          <w:rFonts w:hint="eastAsia" w:ascii="Times New Roman" w:hAnsi="Times New Roman" w:cs="Times New Roman"/>
          <w:b/>
          <w:bCs/>
          <w:highlight w:val="none"/>
          <w:lang w:val="en-US" w:eastAsia="zh-CN"/>
        </w:rPr>
        <w:t>7</w:t>
      </w:r>
      <w:r>
        <w:rPr>
          <w:rFonts w:hint="default" w:ascii="Times New Roman" w:hAnsi="Times New Roman" w:cs="Times New Roman"/>
          <w:highlight w:val="none"/>
        </w:rPr>
        <w:t>. (a) COD and (b) NH</w:t>
      </w:r>
      <w:r>
        <w:rPr>
          <w:rFonts w:hint="default" w:ascii="Times New Roman" w:hAnsi="Times New Roman" w:cs="Times New Roman"/>
          <w:highlight w:val="none"/>
          <w:vertAlign w:val="subscript"/>
        </w:rPr>
        <w:t>3</w:t>
      </w:r>
      <w:r>
        <w:rPr>
          <w:rFonts w:hint="default" w:ascii="Times New Roman" w:hAnsi="Times New Roman" w:cs="Times New Roman"/>
          <w:highlight w:val="none"/>
        </w:rPr>
        <w:t>-N removal efficiencies of CGW without pretreatment and after different reactors treatment by aerobic biological process.</w:t>
      </w:r>
    </w:p>
    <w:p>
      <w:pPr>
        <w:jc w:val="center"/>
        <w:rPr>
          <w:rFonts w:hint="default" w:ascii="Times New Roman" w:hAnsi="Times New Roman" w:cs="Times New Roman"/>
          <w:highlight w:val="none"/>
        </w:rPr>
      </w:pPr>
      <w:r>
        <w:rPr>
          <w:rFonts w:hint="default" w:ascii="Times New Roman" w:hAnsi="Times New Roman" w:eastAsia="宋体" w:cs="Times New Roman"/>
          <w:b/>
          <w:sz w:val="30"/>
          <w:szCs w:val="30"/>
          <w:highlight w:val="none"/>
        </w:rPr>
        <w:br w:type="page"/>
      </w:r>
      <w:r>
        <w:rPr>
          <w:rFonts w:hint="default" w:ascii="Times New Roman" w:hAnsi="Times New Roman" w:cs="Times New Roman"/>
          <w:highlight w:val="none"/>
        </w:rPr>
        <w:object>
          <v:shape id="_x0000_i1039" o:spt="75" type="#_x0000_t75" style="height:227pt;width:311.5pt;" o:ole="t" filled="f" o:preferrelative="t" stroked="f" coordsize="21600,21600">
            <v:path/>
            <v:fill on="f" focussize="0,0"/>
            <v:stroke on="f" joinstyle="miter"/>
            <v:imagedata r:id="rId37" cropleft="265f" croptop="5296f" cropright="5958f" o:title=""/>
            <o:lock v:ext="edit" aspectratio="f"/>
            <w10:wrap type="none"/>
            <w10:anchorlock/>
          </v:shape>
          <o:OLEObject Type="Embed" ProgID="Origin95.Graph" ShapeID="_x0000_i1039" DrawAspect="Content" ObjectID="_1468075739" r:id="rId36">
            <o:LockedField>false</o:LockedField>
          </o:OLEObject>
        </w:object>
      </w:r>
    </w:p>
    <w:p>
      <w:pPr>
        <w:jc w:val="center"/>
        <w:rPr>
          <w:rFonts w:hint="default" w:ascii="Times New Roman" w:hAnsi="Times New Roman" w:cs="Times New Roman"/>
          <w:szCs w:val="21"/>
          <w:highlight w:val="none"/>
        </w:rPr>
      </w:pPr>
      <w:r>
        <w:rPr>
          <w:rFonts w:hint="default" w:ascii="Times New Roman" w:hAnsi="Times New Roman" w:cs="Times New Roman"/>
          <w:b/>
          <w:bCs/>
          <w:szCs w:val="21"/>
          <w:highlight w:val="none"/>
        </w:rPr>
        <w:t>Fig. S</w:t>
      </w:r>
      <w:r>
        <w:rPr>
          <w:rFonts w:hint="eastAsia" w:ascii="Times New Roman" w:hAnsi="Times New Roman" w:cs="Times New Roman"/>
          <w:b/>
          <w:bCs/>
          <w:szCs w:val="21"/>
          <w:highlight w:val="none"/>
          <w:lang w:val="en-US" w:eastAsia="zh-CN"/>
        </w:rPr>
        <w:t>8</w:t>
      </w:r>
      <w:r>
        <w:rPr>
          <w:rFonts w:hint="default" w:ascii="Times New Roman" w:hAnsi="Times New Roman" w:cs="Times New Roman"/>
          <w:b/>
          <w:bCs/>
          <w:szCs w:val="21"/>
          <w:highlight w:val="none"/>
        </w:rPr>
        <w:t>.</w:t>
      </w:r>
      <w:r>
        <w:rPr>
          <w:rFonts w:hint="default" w:ascii="Times New Roman" w:hAnsi="Times New Roman" w:cs="Times New Roman"/>
          <w:szCs w:val="21"/>
          <w:highlight w:val="none"/>
        </w:rPr>
        <w:t xml:space="preserve"> GC-MS diagrams of CGW after HA and MAHA-2 treatment.</w:t>
      </w:r>
    </w:p>
    <w:p>
      <w:pPr>
        <w:rPr>
          <w:rFonts w:hint="default" w:ascii="Times New Roman" w:hAnsi="Times New Roman" w:cs="Times New Roman"/>
          <w:highlight w:val="none"/>
        </w:rPr>
      </w:pPr>
      <w:r>
        <w:rPr>
          <w:rFonts w:hint="default" w:ascii="Times New Roman" w:hAnsi="Times New Roman" w:cs="Times New Roman"/>
          <w:highlight w:val="none"/>
        </w:rPr>
        <w:br w:type="page"/>
      </w:r>
    </w:p>
    <w:p>
      <w:pPr>
        <w:jc w:val="center"/>
        <w:rPr>
          <w:rFonts w:hint="default" w:ascii="Times New Roman" w:hAnsi="Times New Roman" w:cs="Times New Roman"/>
          <w:highlight w:val="none"/>
        </w:rPr>
      </w:pPr>
      <w:r>
        <w:rPr>
          <w:rFonts w:hint="default" w:ascii="Times New Roman" w:hAnsi="Times New Roman" w:cs="Times New Roman"/>
          <w:highlight w:val="none"/>
        </w:rPr>
        <w:object>
          <v:shape id="_x0000_i1040" o:spt="75" type="#_x0000_t75" style="height:227pt;width:283.5pt;" o:ole="t" filled="f" o:preferrelative="t" stroked="f" coordsize="21600,21600">
            <v:path/>
            <v:fill on="f" focussize="0,0"/>
            <v:stroke on="f" joinstyle="miter"/>
            <v:imagedata r:id="rId39" croptop="5530f" cropright="8879f" cropbottom="6452f" o:title=""/>
            <o:lock v:ext="edit" aspectratio="f"/>
            <w10:wrap type="none"/>
            <w10:anchorlock/>
          </v:shape>
          <o:OLEObject Type="Embed" ProgID="Origin95.Graph" ShapeID="_x0000_i1040" DrawAspect="Content" ObjectID="_1468075740" r:id="rId38">
            <o:LockedField>false</o:LockedField>
          </o:OLEObject>
        </w:object>
      </w:r>
    </w:p>
    <w:p>
      <w:pPr>
        <w:jc w:val="center"/>
        <w:rPr>
          <w:rFonts w:hint="default" w:ascii="Times New Roman" w:hAnsi="Times New Roman" w:cs="Times New Roman"/>
          <w:highlight w:val="none"/>
        </w:rPr>
      </w:pPr>
      <w:r>
        <w:rPr>
          <w:rFonts w:hint="default" w:ascii="Times New Roman" w:hAnsi="Times New Roman" w:cs="Times New Roman"/>
          <w:highlight w:val="none"/>
        </w:rPr>
        <w:object>
          <v:shape id="_x0000_i1041" o:spt="75" type="#_x0000_t75" style="height:227pt;width:283.5pt;" o:ole="t" filled="f" o:preferrelative="t" stroked="f" coordsize="21600,21600">
            <v:path/>
            <v:fill on="f" focussize="0,0"/>
            <v:stroke on="f" joinstyle="miter"/>
            <v:imagedata r:id="rId41" cropleft="1973f" croptop="5530f" cropright="8315f" cropbottom="6452f" o:title=""/>
            <o:lock v:ext="edit" aspectratio="f"/>
            <w10:wrap type="none"/>
            <w10:anchorlock/>
          </v:shape>
          <o:OLEObject Type="Embed" ProgID="Origin95.Graph" ShapeID="_x0000_i1041" DrawAspect="Content" ObjectID="_1468075741" r:id="rId40">
            <o:LockedField>false</o:LockedField>
          </o:OLEObject>
        </w:object>
      </w:r>
    </w:p>
    <w:p>
      <w:pPr>
        <w:spacing w:line="360" w:lineRule="auto"/>
        <w:jc w:val="center"/>
        <w:rPr>
          <w:rFonts w:hint="default" w:ascii="Times New Roman" w:hAnsi="Times New Roman" w:cs="Times New Roman"/>
          <w:highlight w:val="none"/>
        </w:rPr>
      </w:pPr>
      <w:r>
        <w:rPr>
          <w:rFonts w:hint="default" w:ascii="Times New Roman" w:hAnsi="Times New Roman" w:cs="Times New Roman"/>
          <w:b/>
          <w:bCs/>
          <w:highlight w:val="none"/>
        </w:rPr>
        <w:t>Fig. S</w:t>
      </w:r>
      <w:r>
        <w:rPr>
          <w:rFonts w:hint="eastAsia" w:ascii="Times New Roman" w:hAnsi="Times New Roman" w:cs="Times New Roman"/>
          <w:b/>
          <w:bCs/>
          <w:highlight w:val="none"/>
          <w:lang w:val="en-US" w:eastAsia="zh-CN"/>
        </w:rPr>
        <w:t>9</w:t>
      </w:r>
      <w:r>
        <w:rPr>
          <w:rFonts w:hint="default" w:ascii="Times New Roman" w:hAnsi="Times New Roman" w:cs="Times New Roman"/>
          <w:highlight w:val="none"/>
        </w:rPr>
        <w:t>. (a) Standard integral area of five regions and (b) the F</w:t>
      </w:r>
      <w:r>
        <w:rPr>
          <w:rFonts w:hint="default" w:ascii="Times New Roman" w:hAnsi="Times New Roman" w:cs="Times New Roman"/>
          <w:highlight w:val="none"/>
          <w:vertAlign w:val="subscript"/>
        </w:rPr>
        <w:t>max</w:t>
      </w:r>
      <w:r>
        <w:rPr>
          <w:rFonts w:hint="default" w:ascii="Times New Roman" w:hAnsi="Times New Roman" w:cs="Times New Roman"/>
          <w:highlight w:val="none"/>
        </w:rPr>
        <w:t xml:space="preserve"> values of component 1 and component 2 under the raw CGW and the treatment of different reactors.</w:t>
      </w:r>
    </w:p>
    <w:p>
      <w:pPr>
        <w:rPr>
          <w:rFonts w:hint="default" w:ascii="Times New Roman" w:hAnsi="Times New Roman" w:cs="Times New Roman"/>
          <w:highlight w:val="none"/>
        </w:rPr>
      </w:pPr>
      <w:r>
        <w:rPr>
          <w:rFonts w:hint="default" w:ascii="Times New Roman" w:hAnsi="Times New Roman" w:cs="Times New Roman"/>
          <w:highlight w:val="none"/>
        </w:rPr>
        <w:br w:type="page"/>
      </w:r>
    </w:p>
    <w:p>
      <w:pPr>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0" distR="0">
            <wp:extent cx="5268595" cy="3804285"/>
            <wp:effectExtent l="0" t="0" r="825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68595" cy="3804285"/>
                    </a:xfrm>
                    <a:prstGeom prst="rect">
                      <a:avLst/>
                    </a:prstGeom>
                    <a:noFill/>
                    <a:ln>
                      <a:noFill/>
                    </a:ln>
                  </pic:spPr>
                </pic:pic>
              </a:graphicData>
            </a:graphic>
          </wp:inline>
        </w:drawing>
      </w:r>
    </w:p>
    <w:p>
      <w:pPr>
        <w:spacing w:line="360" w:lineRule="auto"/>
        <w:jc w:val="center"/>
        <w:rPr>
          <w:rFonts w:hint="default" w:ascii="Times New Roman" w:hAnsi="Times New Roman" w:cs="Times New Roman"/>
          <w:highlight w:val="none"/>
        </w:rPr>
      </w:pPr>
      <w:r>
        <w:rPr>
          <w:rFonts w:hint="default" w:ascii="Times New Roman" w:hAnsi="Times New Roman" w:cs="Times New Roman"/>
          <w:b/>
          <w:bCs/>
          <w:highlight w:val="none"/>
        </w:rPr>
        <w:t>Fig. S</w:t>
      </w:r>
      <w:r>
        <w:rPr>
          <w:rFonts w:hint="eastAsia" w:ascii="Times New Roman" w:hAnsi="Times New Roman" w:cs="Times New Roman"/>
          <w:b/>
          <w:bCs/>
          <w:highlight w:val="none"/>
          <w:lang w:val="en-US" w:eastAsia="zh-CN"/>
        </w:rPr>
        <w:t>10</w:t>
      </w:r>
      <w:r>
        <w:rPr>
          <w:rFonts w:hint="default" w:ascii="Times New Roman" w:hAnsi="Times New Roman" w:cs="Times New Roman"/>
          <w:b/>
          <w:bCs/>
          <w:highlight w:val="none"/>
        </w:rPr>
        <w:t>.</w:t>
      </w:r>
      <w:r>
        <w:rPr>
          <w:rFonts w:hint="default" w:ascii="Times New Roman" w:hAnsi="Times New Roman" w:cs="Times New Roman"/>
          <w:highlight w:val="none"/>
        </w:rPr>
        <w:t xml:space="preserve"> The concentrations of (a) phenol hydroxylase, (b) catechol 1,2-dioxygenase, (c) dehydrogenase and (d) ATP activity under HA, MAHA-1 and MAHA-2 reactors.</w:t>
      </w:r>
    </w:p>
    <w:p>
      <w:pPr>
        <w:rPr>
          <w:rFonts w:hint="default" w:ascii="Times New Roman" w:hAnsi="Times New Roman" w:eastAsia="宋体" w:cs="Times New Roman"/>
          <w:b/>
          <w:sz w:val="30"/>
          <w:szCs w:val="30"/>
          <w:highlight w:val="none"/>
        </w:rPr>
      </w:pPr>
    </w:p>
    <w:p>
      <w:pPr>
        <w:rPr>
          <w:rFonts w:hint="default" w:ascii="Times New Roman" w:hAnsi="Times New Roman" w:eastAsia="宋体" w:cs="Times New Roman"/>
          <w:sz w:val="18"/>
          <w:highlight w:val="none"/>
        </w:rPr>
      </w:pPr>
      <w:r>
        <w:rPr>
          <w:rFonts w:hint="default" w:ascii="Times New Roman" w:hAnsi="Times New Roman" w:eastAsia="宋体" w:cs="Times New Roman"/>
          <w:sz w:val="18"/>
          <w:highlight w:val="none"/>
        </w:rPr>
        <w:br w:type="page"/>
      </w:r>
    </w:p>
    <w:p>
      <w:pPr>
        <w:ind w:firstLine="420"/>
        <w:jc w:val="center"/>
        <w:rPr>
          <w:rFonts w:hint="default" w:ascii="Times New Roman" w:hAnsi="Times New Roman" w:eastAsia="宋体" w:cs="Times New Roman"/>
          <w:sz w:val="18"/>
          <w:highlight w:val="none"/>
        </w:rPr>
      </w:pPr>
      <w:r>
        <w:rPr>
          <w:rFonts w:hint="default" w:ascii="Times New Roman" w:hAnsi="Times New Roman" w:eastAsia="宋体" w:cs="Times New Roman"/>
          <w:sz w:val="18"/>
          <w:highlight w:val="none"/>
        </w:rPr>
        <w:drawing>
          <wp:inline distT="0" distB="0" distL="0" distR="0">
            <wp:extent cx="3599815" cy="2879725"/>
            <wp:effectExtent l="0" t="0" r="635" b="15875"/>
            <wp:docPr id="1486996426" name="图片 1" descr="图片包含 图表&#10;&#10;描述已自动生成"/>
            <wp:cNvGraphicFramePr/>
            <a:graphic xmlns:a="http://schemas.openxmlformats.org/drawingml/2006/main">
              <a:graphicData uri="http://schemas.openxmlformats.org/drawingml/2006/picture">
                <pic:pic xmlns:pic="http://schemas.openxmlformats.org/drawingml/2006/picture">
                  <pic:nvPicPr>
                    <pic:cNvPr id="1486996426" name="图片 1" descr="图片包含 图表&#10;&#10;描述已自动生成"/>
                    <pic:cNvPicPr/>
                  </pic:nvPicPr>
                  <pic:blipFill>
                    <a:blip r:embed="rId43" cstate="print">
                      <a:extLst>
                        <a:ext uri="{28A0092B-C50C-407E-A947-70E740481C1C}">
                          <a14:useLocalDpi xmlns:a14="http://schemas.microsoft.com/office/drawing/2010/main" val="0"/>
                        </a:ext>
                      </a:extLst>
                    </a:blip>
                    <a:srcRect l="7442" t="8886" r="12335" b="1235"/>
                    <a:stretch>
                      <a:fillRect/>
                    </a:stretch>
                  </pic:blipFill>
                  <pic:spPr>
                    <a:xfrm>
                      <a:off x="0" y="0"/>
                      <a:ext cx="3599815" cy="2879725"/>
                    </a:xfrm>
                    <a:prstGeom prst="rect">
                      <a:avLst/>
                    </a:prstGeom>
                  </pic:spPr>
                </pic:pic>
              </a:graphicData>
            </a:graphic>
          </wp:inline>
        </w:drawing>
      </w:r>
    </w:p>
    <w:p>
      <w:pPr>
        <w:ind w:firstLine="420"/>
        <w:jc w:val="center"/>
        <w:rPr>
          <w:rFonts w:hint="default" w:ascii="Times New Roman" w:hAnsi="Times New Roman" w:eastAsia="宋体" w:cs="Times New Roman"/>
          <w:highlight w:val="none"/>
        </w:rPr>
      </w:pPr>
      <w:r>
        <w:rPr>
          <w:rFonts w:hint="default" w:ascii="Times New Roman" w:hAnsi="Times New Roman" w:eastAsia="宋体" w:cs="Times New Roman"/>
          <w:b/>
          <w:bCs/>
          <w:highlight w:val="none"/>
        </w:rPr>
        <w:t>Fig. S1</w:t>
      </w:r>
      <w:r>
        <w:rPr>
          <w:rFonts w:hint="eastAsia" w:ascii="Times New Roman" w:hAnsi="Times New Roman" w:eastAsia="宋体" w:cs="Times New Roman"/>
          <w:b/>
          <w:bCs/>
          <w:highlight w:val="none"/>
          <w:lang w:val="en-US" w:eastAsia="zh-CN"/>
        </w:rPr>
        <w:t>1</w:t>
      </w:r>
      <w:r>
        <w:rPr>
          <w:rFonts w:hint="default" w:ascii="Times New Roman" w:hAnsi="Times New Roman" w:eastAsia="宋体" w:cs="Times New Roman"/>
          <w:highlight w:val="none"/>
        </w:rPr>
        <w:t>. Shannon dilution curves at genus level.</w:t>
      </w:r>
    </w:p>
    <w:p>
      <w:pPr>
        <w:rPr>
          <w:rFonts w:hint="default" w:ascii="Times New Roman" w:hAnsi="Times New Roman" w:eastAsia="宋体" w:cs="Times New Roman"/>
          <w:b/>
          <w:sz w:val="30"/>
          <w:szCs w:val="30"/>
          <w:highlight w:val="none"/>
        </w:rPr>
      </w:pPr>
    </w:p>
    <w:p>
      <w:pPr>
        <w:jc w:val="center"/>
        <w:rPr>
          <w:rFonts w:hint="default" w:ascii="Times New Roman" w:hAnsi="Times New Roman" w:eastAsia="宋体" w:cs="Times New Roman"/>
          <w:highlight w:val="none"/>
        </w:rPr>
      </w:pPr>
      <w:r>
        <w:rPr>
          <w:rFonts w:hint="default" w:ascii="Times New Roman" w:hAnsi="Times New Roman" w:eastAsia="宋体" w:cs="Times New Roman"/>
          <w:b/>
          <w:sz w:val="30"/>
          <w:szCs w:val="30"/>
          <w:highlight w:val="none"/>
        </w:rPr>
        <w:br w:type="page"/>
      </w:r>
      <w:r>
        <w:rPr>
          <w:rFonts w:hint="default" w:ascii="Times New Roman" w:hAnsi="Times New Roman" w:eastAsia="宋体" w:cs="Times New Roman"/>
          <w:sz w:val="18"/>
          <w:highlight w:val="none"/>
        </w:rPr>
        <w:drawing>
          <wp:inline distT="0" distB="0" distL="0" distR="0">
            <wp:extent cx="3599815" cy="2879725"/>
            <wp:effectExtent l="0" t="0" r="635" b="15875"/>
            <wp:docPr id="903428457" name="图片 3" descr="图表&#10;&#10;中度可信度描述已自动生成"/>
            <wp:cNvGraphicFramePr/>
            <a:graphic xmlns:a="http://schemas.openxmlformats.org/drawingml/2006/main">
              <a:graphicData uri="http://schemas.openxmlformats.org/drawingml/2006/picture">
                <pic:pic xmlns:pic="http://schemas.openxmlformats.org/drawingml/2006/picture">
                  <pic:nvPicPr>
                    <pic:cNvPr id="903428457" name="图片 3" descr="图表&#10;&#10;中度可信度描述已自动生成"/>
                    <pic:cNvPicPr/>
                  </pic:nvPicPr>
                  <pic:blipFill>
                    <a:blip r:embed="rId44" cstate="print">
                      <a:extLst>
                        <a:ext uri="{28A0092B-C50C-407E-A947-70E740481C1C}">
                          <a14:useLocalDpi xmlns:a14="http://schemas.microsoft.com/office/drawing/2010/main" val="0"/>
                        </a:ext>
                      </a:extLst>
                    </a:blip>
                    <a:srcRect t="8467" r="15170"/>
                    <a:stretch>
                      <a:fillRect/>
                    </a:stretch>
                  </pic:blipFill>
                  <pic:spPr>
                    <a:xfrm>
                      <a:off x="0" y="0"/>
                      <a:ext cx="3599815" cy="2879725"/>
                    </a:xfrm>
                    <a:prstGeom prst="rect">
                      <a:avLst/>
                    </a:prstGeom>
                    <a:ln>
                      <a:noFill/>
                    </a:ln>
                  </pic:spPr>
                </pic:pic>
              </a:graphicData>
            </a:graphic>
          </wp:inline>
        </w:drawing>
      </w:r>
    </w:p>
    <w:p>
      <w:pPr>
        <w:ind w:firstLine="420"/>
        <w:jc w:val="center"/>
        <w:rPr>
          <w:rFonts w:hint="default" w:ascii="Times New Roman" w:hAnsi="Times New Roman" w:eastAsia="宋体" w:cs="Times New Roman"/>
          <w:szCs w:val="21"/>
          <w:highlight w:val="none"/>
        </w:rPr>
      </w:pPr>
      <w:r>
        <w:rPr>
          <w:rFonts w:hint="default" w:ascii="Times New Roman" w:hAnsi="Times New Roman" w:eastAsia="宋体" w:cs="Times New Roman"/>
          <w:b/>
          <w:bCs/>
          <w:highlight w:val="none"/>
        </w:rPr>
        <w:t>Fig. S1</w:t>
      </w:r>
      <w:r>
        <w:rPr>
          <w:rFonts w:hint="eastAsia" w:ascii="Times New Roman" w:hAnsi="Times New Roman" w:eastAsia="宋体" w:cs="Times New Roman"/>
          <w:b/>
          <w:bCs/>
          <w:highlight w:val="none"/>
          <w:lang w:val="en-US" w:eastAsia="zh-CN"/>
        </w:rPr>
        <w:t>2</w:t>
      </w:r>
      <w:r>
        <w:rPr>
          <w:rFonts w:hint="default" w:ascii="Times New Roman" w:hAnsi="Times New Roman" w:eastAsia="宋体" w:cs="Times New Roman"/>
          <w:highlight w:val="none"/>
        </w:rPr>
        <w:t>.</w:t>
      </w:r>
      <w:r>
        <w:rPr>
          <w:rFonts w:hint="default" w:ascii="Times New Roman" w:hAnsi="Times New Roman" w:eastAsia="宋体" w:cs="Times New Roman"/>
          <w:szCs w:val="21"/>
          <w:highlight w:val="none"/>
        </w:rPr>
        <w:t xml:space="preserve"> Rank-Abundance curves under different DO concentrations.</w:t>
      </w:r>
    </w:p>
    <w:p>
      <w:pPr>
        <w:ind w:firstLine="420"/>
        <w:jc w:val="center"/>
        <w:rPr>
          <w:rFonts w:hint="default" w:ascii="Times New Roman" w:hAnsi="Times New Roman" w:eastAsia="宋体" w:cs="Times New Roman"/>
          <w:b/>
          <w:bCs/>
          <w:szCs w:val="21"/>
          <w:highlight w:val="none"/>
        </w:rPr>
      </w:pPr>
      <w:r>
        <w:rPr>
          <w:rFonts w:hint="default" w:ascii="Times New Roman" w:hAnsi="Times New Roman" w:eastAsia="宋体" w:cs="Times New Roman"/>
          <w:szCs w:val="21"/>
          <w:highlight w:val="none"/>
        </w:rPr>
        <w:br w:type="page"/>
      </w:r>
      <w:r>
        <w:rPr>
          <w:rFonts w:hint="default" w:ascii="Times New Roman" w:hAnsi="Times New Roman" w:cs="Times New Roman"/>
          <w:highlight w:val="none"/>
        </w:rPr>
        <w:drawing>
          <wp:inline distT="0" distB="0" distL="0" distR="0">
            <wp:extent cx="5274310" cy="5789295"/>
            <wp:effectExtent l="0" t="0" r="0" b="1905"/>
            <wp:docPr id="8147176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7642" name="图片 2"/>
                    <pic:cNvPicPr>
                      <a:picLocks noChangeAspect="1"/>
                    </pic:cNvPicPr>
                  </pic:nvPicPr>
                  <pic:blipFill>
                    <a:blip r:embed="rId45">
                      <a:extLst>
                        <a:ext uri="{28A0092B-C50C-407E-A947-70E740481C1C}">
                          <a14:useLocalDpi xmlns:a14="http://schemas.microsoft.com/office/drawing/2010/main" val="0"/>
                        </a:ext>
                      </a:extLst>
                    </a:blip>
                    <a:srcRect t="5530" b="16905"/>
                    <a:stretch>
                      <a:fillRect/>
                    </a:stretch>
                  </pic:blipFill>
                  <pic:spPr>
                    <a:xfrm>
                      <a:off x="0" y="0"/>
                      <a:ext cx="5274310" cy="5789295"/>
                    </a:xfrm>
                    <a:prstGeom prst="rect">
                      <a:avLst/>
                    </a:prstGeom>
                  </pic:spPr>
                </pic:pic>
              </a:graphicData>
            </a:graphic>
          </wp:inline>
        </w:drawing>
      </w:r>
    </w:p>
    <w:p>
      <w:pPr>
        <w:ind w:firstLine="420"/>
        <w:jc w:val="center"/>
        <w:rPr>
          <w:rFonts w:hint="default" w:ascii="Times New Roman" w:hAnsi="Times New Roman" w:eastAsia="宋体" w:cs="Times New Roman"/>
          <w:szCs w:val="21"/>
          <w:highlight w:val="none"/>
        </w:rPr>
      </w:pPr>
      <w:r>
        <w:rPr>
          <w:rFonts w:hint="default" w:ascii="Times New Roman" w:hAnsi="Times New Roman" w:eastAsia="宋体" w:cs="Times New Roman"/>
          <w:b/>
          <w:bCs/>
          <w:szCs w:val="21"/>
          <w:highlight w:val="none"/>
        </w:rPr>
        <w:t>Fig. S1</w:t>
      </w:r>
      <w:r>
        <w:rPr>
          <w:rFonts w:hint="eastAsia" w:ascii="Times New Roman" w:hAnsi="Times New Roman" w:eastAsia="宋体" w:cs="Times New Roman"/>
          <w:b/>
          <w:bCs/>
          <w:szCs w:val="21"/>
          <w:highlight w:val="none"/>
          <w:lang w:val="en-US" w:eastAsia="zh-CN"/>
        </w:rPr>
        <w:t>3</w:t>
      </w:r>
      <w:r>
        <w:rPr>
          <w:rFonts w:hint="default" w:ascii="Times New Roman" w:hAnsi="Times New Roman" w:eastAsia="宋体" w:cs="Times New Roman"/>
          <w:szCs w:val="21"/>
          <w:highlight w:val="none"/>
        </w:rPr>
        <w:t>. Overview diagram of KEGG database enzyme information.</w:t>
      </w:r>
    </w:p>
    <w:p>
      <w:pPr>
        <w:ind w:firstLine="420"/>
        <w:jc w:val="center"/>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t>(https://www.kegg.jp/kegg-bin/get_htext?htext=ko01000.keg&amp;query=Oxidoreductases)</w:t>
      </w:r>
    </w:p>
    <w:p>
      <w:pPr>
        <w:rPr>
          <w:rFonts w:hint="default" w:ascii="Times New Roman" w:hAnsi="Times New Roman" w:eastAsia="宋体" w:cs="Times New Roman"/>
          <w:szCs w:val="21"/>
          <w:highlight w:val="none"/>
        </w:rPr>
      </w:pPr>
      <w:r>
        <w:rPr>
          <w:rFonts w:hint="default" w:ascii="Times New Roman" w:hAnsi="Times New Roman" w:eastAsia="宋体" w:cs="Times New Roman"/>
          <w:szCs w:val="21"/>
          <w:highlight w:val="none"/>
        </w:rPr>
        <w:br w:type="page"/>
      </w:r>
    </w:p>
    <w:p>
      <w:pPr>
        <w:rPr>
          <w:rFonts w:hint="default" w:ascii="Times New Roman" w:hAnsi="Times New Roman" w:eastAsia="宋体" w:cs="Times New Roman"/>
          <w:sz w:val="24"/>
          <w:highlight w:val="none"/>
        </w:rPr>
      </w:pPr>
      <w:r>
        <w:rPr>
          <w:rFonts w:hint="default" w:ascii="Times New Roman" w:hAnsi="Times New Roman" w:eastAsia="宋体" w:cs="Times New Roman"/>
          <w:sz w:val="24"/>
          <w:highlight w:val="none"/>
        </w:rPr>
        <w:drawing>
          <wp:inline distT="0" distB="0" distL="0" distR="0">
            <wp:extent cx="5274310" cy="3415665"/>
            <wp:effectExtent l="0" t="0" r="254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415665"/>
                    </a:xfrm>
                    <a:prstGeom prst="rect">
                      <a:avLst/>
                    </a:prstGeom>
                  </pic:spPr>
                </pic:pic>
              </a:graphicData>
            </a:graphic>
          </wp:inline>
        </w:drawing>
      </w:r>
    </w:p>
    <w:p>
      <w:pPr>
        <w:jc w:val="center"/>
        <w:rPr>
          <w:rFonts w:hint="default" w:ascii="Times New Roman" w:hAnsi="Times New Roman" w:cs="Times New Roman"/>
          <w:highlight w:val="none"/>
        </w:rPr>
      </w:pPr>
      <w:r>
        <w:rPr>
          <w:rFonts w:hint="default" w:ascii="Times New Roman" w:hAnsi="Times New Roman" w:cs="Times New Roman"/>
          <w:b/>
          <w:bCs/>
          <w:highlight w:val="none"/>
        </w:rPr>
        <w:t>Fig. S1</w:t>
      </w:r>
      <w:r>
        <w:rPr>
          <w:rFonts w:hint="eastAsia" w:ascii="Times New Roman" w:hAnsi="Times New Roman" w:cs="Times New Roman"/>
          <w:b/>
          <w:bCs/>
          <w:highlight w:val="none"/>
          <w:lang w:val="en-US" w:eastAsia="zh-CN"/>
        </w:rPr>
        <w:t>4</w:t>
      </w:r>
      <w:r>
        <w:rPr>
          <w:rFonts w:hint="default" w:ascii="Times New Roman" w:hAnsi="Times New Roman" w:cs="Times New Roman"/>
          <w:highlight w:val="none"/>
        </w:rPr>
        <w:t>. The general metabolic pathway map of bacteria. (https://www.kegg.jp/pathway/map01100)</w:t>
      </w:r>
    </w:p>
    <w:p>
      <w:pPr>
        <w:rPr>
          <w:rFonts w:hint="default" w:ascii="Times New Roman" w:hAnsi="Times New Roman" w:cs="Times New Roman"/>
          <w:highlight w:val="none"/>
        </w:rPr>
      </w:pPr>
      <w:r>
        <w:rPr>
          <w:rFonts w:hint="default" w:ascii="Times New Roman" w:hAnsi="Times New Roman" w:cs="Times New Roman"/>
          <w:highlight w:val="none"/>
        </w:rPr>
        <w:br w:type="page"/>
      </w:r>
    </w:p>
    <w:p>
      <w:pPr>
        <w:rPr>
          <w:rFonts w:hint="default" w:ascii="Times New Roman" w:hAnsi="Times New Roman" w:eastAsia="宋体" w:cs="Times New Roman"/>
          <w:szCs w:val="21"/>
          <w:highlight w:val="none"/>
        </w:rPr>
      </w:pPr>
    </w:p>
    <w:p>
      <w:pPr>
        <w:jc w:val="center"/>
        <w:rPr>
          <w:rFonts w:hint="default" w:ascii="Times New Roman" w:hAnsi="Times New Roman" w:eastAsia="宋体" w:cs="Times New Roman"/>
          <w:sz w:val="24"/>
          <w:highlight w:val="none"/>
        </w:rPr>
      </w:pPr>
      <w:r>
        <w:rPr>
          <w:rFonts w:hint="default" w:ascii="Times New Roman" w:hAnsi="Times New Roman" w:eastAsia="宋体" w:cs="Times New Roman"/>
          <w:sz w:val="24"/>
          <w:highlight w:val="none"/>
        </w:rPr>
        <w:drawing>
          <wp:inline distT="0" distB="0" distL="0" distR="0">
            <wp:extent cx="4742180" cy="2879725"/>
            <wp:effectExtent l="0" t="0" r="1270" b="15875"/>
            <wp:docPr id="572387678" name="图片 13"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87678" name="图片 13" descr="图表, 雷达图&#10;&#10;描述已自动生成"/>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42522" cy="2880000"/>
                    </a:xfrm>
                    <a:prstGeom prst="rect">
                      <a:avLst/>
                    </a:prstGeom>
                  </pic:spPr>
                </pic:pic>
              </a:graphicData>
            </a:graphic>
          </wp:inline>
        </w:drawing>
      </w:r>
    </w:p>
    <w:p>
      <w:pPr>
        <w:jc w:val="center"/>
        <w:rPr>
          <w:rFonts w:hint="default" w:ascii="Times New Roman" w:hAnsi="Times New Roman" w:eastAsia="宋体" w:cs="Times New Roman"/>
          <w:szCs w:val="21"/>
          <w:highlight w:val="none"/>
        </w:rPr>
      </w:pPr>
      <w:r>
        <w:rPr>
          <w:rFonts w:hint="default" w:ascii="Times New Roman" w:hAnsi="Times New Roman" w:eastAsia="宋体" w:cs="Times New Roman"/>
          <w:b/>
          <w:bCs/>
          <w:szCs w:val="21"/>
          <w:highlight w:val="none"/>
        </w:rPr>
        <w:t>Fig. S1</w:t>
      </w:r>
      <w:r>
        <w:rPr>
          <w:rFonts w:hint="eastAsia" w:ascii="Times New Roman" w:hAnsi="Times New Roman" w:eastAsia="宋体" w:cs="Times New Roman"/>
          <w:b/>
          <w:bCs/>
          <w:szCs w:val="21"/>
          <w:highlight w:val="none"/>
          <w:lang w:val="en-US" w:eastAsia="zh-CN"/>
        </w:rPr>
        <w:t>5</w:t>
      </w:r>
      <w:r>
        <w:rPr>
          <w:rFonts w:hint="default" w:ascii="Times New Roman" w:hAnsi="Times New Roman" w:eastAsia="宋体" w:cs="Times New Roman"/>
          <w:b/>
          <w:bCs/>
          <w:szCs w:val="21"/>
          <w:highlight w:val="none"/>
        </w:rPr>
        <w:t>.</w:t>
      </w:r>
      <w:r>
        <w:rPr>
          <w:rFonts w:hint="default" w:ascii="Times New Roman" w:hAnsi="Times New Roman" w:eastAsia="宋体" w:cs="Times New Roman"/>
          <w:szCs w:val="21"/>
          <w:highlight w:val="none"/>
        </w:rPr>
        <w:t xml:space="preserve"> Pathway at third level visualized using Circos.</w:t>
      </w:r>
    </w:p>
    <w:p>
      <w:pPr>
        <w:rPr>
          <w:rFonts w:hint="default" w:ascii="Times New Roman" w:hAnsi="Times New Roman" w:cs="Times New Roman"/>
          <w:highlight w:val="none"/>
        </w:rPr>
      </w:pPr>
      <w:r>
        <w:rPr>
          <w:rFonts w:hint="default" w:ascii="Times New Roman" w:hAnsi="Times New Roman" w:cs="Times New Roman"/>
          <w:highlight w:val="none"/>
        </w:rPr>
        <w:br w:type="page"/>
      </w:r>
    </w:p>
    <w:p>
      <w:pPr>
        <w:jc w:val="center"/>
        <w:rPr>
          <w:rFonts w:hint="default" w:ascii="Times New Roman" w:hAnsi="Times New Roman" w:cs="Times New Roman"/>
          <w:highlight w:val="none"/>
        </w:rPr>
      </w:pPr>
      <w:r>
        <w:rPr>
          <w:rFonts w:hint="default" w:ascii="Times New Roman" w:hAnsi="Times New Roman" w:cs="Times New Roman"/>
          <w:highlight w:val="none"/>
        </w:rPr>
        <w:drawing>
          <wp:inline distT="0" distB="0" distL="0" distR="0">
            <wp:extent cx="3959860" cy="2879725"/>
            <wp:effectExtent l="0" t="0" r="2540" b="15875"/>
            <wp:docPr id="160533858" name="图片 15"/>
            <wp:cNvGraphicFramePr/>
            <a:graphic xmlns:a="http://schemas.openxmlformats.org/drawingml/2006/main">
              <a:graphicData uri="http://schemas.openxmlformats.org/drawingml/2006/picture">
                <pic:pic xmlns:pic="http://schemas.openxmlformats.org/drawingml/2006/picture">
                  <pic:nvPicPr>
                    <pic:cNvPr id="160533858" name="图片 15"/>
                    <pic:cNvPicPr/>
                  </pic:nvPicPr>
                  <pic:blipFill>
                    <a:blip r:embed="rId48" cstate="print">
                      <a:extLst>
                        <a:ext uri="{28A0092B-C50C-407E-A947-70E740481C1C}">
                          <a14:useLocalDpi xmlns:a14="http://schemas.microsoft.com/office/drawing/2010/main" val="0"/>
                        </a:ext>
                      </a:extLst>
                    </a:blip>
                    <a:srcRect l="9988" t="2889" b="8115"/>
                    <a:stretch>
                      <a:fillRect/>
                    </a:stretch>
                  </pic:blipFill>
                  <pic:spPr>
                    <a:xfrm>
                      <a:off x="0" y="0"/>
                      <a:ext cx="3959860" cy="2879725"/>
                    </a:xfrm>
                    <a:prstGeom prst="rect">
                      <a:avLst/>
                    </a:prstGeom>
                  </pic:spPr>
                </pic:pic>
              </a:graphicData>
            </a:graphic>
          </wp:inline>
        </w:drawing>
      </w:r>
    </w:p>
    <w:p>
      <w:pPr>
        <w:jc w:val="center"/>
        <w:rPr>
          <w:rFonts w:hint="default" w:ascii="Times New Roman" w:hAnsi="Times New Roman" w:cs="Times New Roman"/>
          <w:highlight w:val="none"/>
        </w:rPr>
      </w:pPr>
      <w:r>
        <w:rPr>
          <w:rFonts w:hint="default" w:ascii="Times New Roman" w:hAnsi="Times New Roman" w:cs="Times New Roman"/>
          <w:b/>
          <w:bCs/>
          <w:highlight w:val="none"/>
        </w:rPr>
        <w:t>Fig. S1</w:t>
      </w:r>
      <w:r>
        <w:rPr>
          <w:rFonts w:hint="eastAsia" w:ascii="Times New Roman" w:hAnsi="Times New Roman" w:cs="Times New Roman"/>
          <w:b/>
          <w:bCs/>
          <w:highlight w:val="none"/>
          <w:lang w:val="en-US" w:eastAsia="zh-CN"/>
        </w:rPr>
        <w:t>6</w:t>
      </w:r>
      <w:r>
        <w:rPr>
          <w:rFonts w:hint="default" w:ascii="Times New Roman" w:hAnsi="Times New Roman" w:cs="Times New Roman"/>
          <w:highlight w:val="none"/>
        </w:rPr>
        <w:t xml:space="preserve">. </w:t>
      </w:r>
      <w:bookmarkStart w:id="4" w:name="OLE_LINK2"/>
      <w:r>
        <w:rPr>
          <w:rFonts w:hint="default" w:ascii="Times New Roman" w:hAnsi="Times New Roman" w:cs="Times New Roman"/>
          <w:highlight w:val="none"/>
        </w:rPr>
        <w:t>Genes</w:t>
      </w:r>
      <w:bookmarkEnd w:id="4"/>
      <w:r>
        <w:rPr>
          <w:rFonts w:hint="default" w:ascii="Times New Roman" w:hAnsi="Times New Roman" w:cs="Times New Roman"/>
          <w:highlight w:val="none"/>
        </w:rPr>
        <w:t xml:space="preserve"> abundance of enzyme associated with organics hydrolysis.</w:t>
      </w:r>
    </w:p>
    <w:p>
      <w:pPr>
        <w:rPr>
          <w:rFonts w:hint="default" w:ascii="Times New Roman" w:hAnsi="Times New Roman" w:eastAsia="宋体" w:cs="Times New Roman"/>
          <w:b/>
          <w:sz w:val="30"/>
          <w:szCs w:val="30"/>
        </w:rPr>
      </w:pPr>
      <w:r>
        <w:rPr>
          <w:rFonts w:hint="default" w:ascii="Times New Roman" w:hAnsi="Times New Roman" w:eastAsia="宋体" w:cs="Times New Roman"/>
          <w:sz w:val="24"/>
        </w:rPr>
        <w:br w:type="page"/>
      </w:r>
    </w:p>
    <w:p>
      <w:pPr>
        <w:snapToGrid w:val="0"/>
        <w:spacing w:line="360" w:lineRule="auto"/>
        <w:outlineLvl w:val="0"/>
        <w:rPr>
          <w:rFonts w:hint="default" w:ascii="Times New Roman" w:hAnsi="Times New Roman" w:eastAsia="宋体" w:cs="Times New Roman"/>
          <w:b/>
          <w:sz w:val="30"/>
          <w:szCs w:val="30"/>
        </w:rPr>
      </w:pPr>
      <w:r>
        <w:rPr>
          <w:rFonts w:hint="default" w:ascii="Times New Roman" w:hAnsi="Times New Roman" w:eastAsia="宋体" w:cs="Times New Roman"/>
          <w:b/>
          <w:sz w:val="30"/>
          <w:szCs w:val="30"/>
        </w:rPr>
        <w:t>Tables:</w:t>
      </w:r>
    </w:p>
    <w:p>
      <w:pPr>
        <w:widowControl/>
        <w:ind w:firstLine="420"/>
        <w:jc w:val="center"/>
        <w:rPr>
          <w:rFonts w:hint="default" w:ascii="Times New Roman" w:hAnsi="Times New Roman" w:eastAsia="宋体" w:cs="Times New Roman"/>
        </w:rPr>
      </w:pPr>
      <w:r>
        <w:rPr>
          <w:rFonts w:hint="default" w:ascii="Times New Roman" w:hAnsi="Times New Roman" w:eastAsia="宋体" w:cs="Times New Roman"/>
          <w:b/>
          <w:bCs/>
          <w:szCs w:val="21"/>
        </w:rPr>
        <w:t>Table S1</w:t>
      </w:r>
      <w:r>
        <w:rPr>
          <w:rFonts w:hint="default" w:ascii="Times New Roman" w:hAnsi="Times New Roman" w:eastAsia="宋体" w:cs="Times New Roman"/>
          <w:szCs w:val="21"/>
        </w:rPr>
        <w:t xml:space="preserve">. </w:t>
      </w:r>
      <w:r>
        <w:rPr>
          <w:rFonts w:hint="default" w:ascii="Times New Roman" w:hAnsi="Times New Roman" w:cs="Times New Roman"/>
          <w:szCs w:val="21"/>
        </w:rPr>
        <w:t>Water quality analysis of raw CGW.</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4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nil"/>
              <w:bottom w:val="single" w:color="auto" w:sz="4" w:space="0"/>
              <w:right w:val="nil"/>
            </w:tcBorders>
          </w:tcPr>
          <w:p>
            <w:pPr>
              <w:jc w:val="left"/>
              <w:rPr>
                <w:rFonts w:hint="default" w:ascii="Times New Roman" w:hAnsi="Times New Roman" w:cs="Times New Roman"/>
                <w:szCs w:val="21"/>
              </w:rPr>
            </w:pPr>
            <w:r>
              <w:rPr>
                <w:rFonts w:hint="default" w:ascii="Times New Roman" w:hAnsi="Times New Roman" w:cs="Times New Roman"/>
                <w:szCs w:val="21"/>
              </w:rPr>
              <w:t>Parameters</w:t>
            </w:r>
          </w:p>
        </w:tc>
        <w:tc>
          <w:tcPr>
            <w:tcW w:w="2841" w:type="dxa"/>
            <w:tcBorders>
              <w:top w:val="single" w:color="auto" w:sz="6" w:space="0"/>
              <w:left w:val="nil"/>
              <w:bottom w:val="single" w:color="auto" w:sz="4" w:space="0"/>
              <w:right w:val="nil"/>
            </w:tcBorders>
          </w:tcPr>
          <w:p>
            <w:pPr>
              <w:jc w:val="left"/>
              <w:rPr>
                <w:rFonts w:hint="default" w:ascii="Times New Roman" w:hAnsi="Times New Roman" w:cs="Times New Roman"/>
                <w:szCs w:val="21"/>
              </w:rPr>
            </w:pPr>
            <w:r>
              <w:rPr>
                <w:rFonts w:hint="default" w:ascii="Times New Roman" w:hAnsi="Times New Roman" w:cs="Times New Roman"/>
                <w:szCs w:val="21"/>
              </w:rPr>
              <w:t>Concentration range</w:t>
            </w:r>
          </w:p>
        </w:tc>
        <w:tc>
          <w:tcPr>
            <w:tcW w:w="2455" w:type="dxa"/>
            <w:tcBorders>
              <w:top w:val="single" w:color="auto" w:sz="6" w:space="0"/>
              <w:left w:val="nil"/>
              <w:bottom w:val="single" w:color="auto" w:sz="4" w:space="0"/>
              <w:right w:val="nil"/>
            </w:tcBorders>
          </w:tcPr>
          <w:p>
            <w:pPr>
              <w:jc w:val="left"/>
              <w:rPr>
                <w:rFonts w:hint="default" w:ascii="Times New Roman" w:hAnsi="Times New Roman" w:cs="Times New Roman"/>
                <w:szCs w:val="21"/>
              </w:rPr>
            </w:pPr>
            <w:r>
              <w:rPr>
                <w:rFonts w:hint="default" w:ascii="Times New Roman" w:hAnsi="Times New Roman" w:cs="Times New Roman"/>
                <w:szCs w:val="21"/>
              </w:rPr>
              <w:t>Average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4" w:space="0"/>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COD (mg/L)</w:t>
            </w:r>
          </w:p>
        </w:tc>
        <w:tc>
          <w:tcPr>
            <w:tcW w:w="2841" w:type="dxa"/>
            <w:tcBorders>
              <w:top w:val="single" w:color="auto" w:sz="4" w:space="0"/>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3012-3622</w:t>
            </w:r>
          </w:p>
        </w:tc>
        <w:tc>
          <w:tcPr>
            <w:tcW w:w="2455" w:type="dxa"/>
            <w:tcBorders>
              <w:top w:val="single" w:color="auto" w:sz="4" w:space="0"/>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3317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BOD</w:t>
            </w:r>
            <w:r>
              <w:rPr>
                <w:rFonts w:hint="default" w:ascii="Times New Roman" w:hAnsi="Times New Roman" w:cs="Times New Roman"/>
                <w:szCs w:val="21"/>
                <w:vertAlign w:val="subscript"/>
              </w:rPr>
              <w:t>5</w:t>
            </w:r>
            <w:r>
              <w:rPr>
                <w:rFonts w:hint="default" w:ascii="Times New Roman" w:hAnsi="Times New Roman" w:cs="Times New Roman"/>
                <w:szCs w:val="21"/>
              </w:rPr>
              <w:t xml:space="preserve">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1028-1372</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BOD</w:t>
            </w:r>
            <w:r>
              <w:rPr>
                <w:rFonts w:hint="default" w:ascii="Times New Roman" w:hAnsi="Times New Roman" w:cs="Times New Roman"/>
                <w:szCs w:val="21"/>
                <w:vertAlign w:val="subscript"/>
              </w:rPr>
              <w:t>5</w:t>
            </w:r>
            <w:r>
              <w:rPr>
                <w:rFonts w:hint="default" w:ascii="Times New Roman" w:hAnsi="Times New Roman" w:cs="Times New Roman"/>
                <w:szCs w:val="21"/>
              </w:rPr>
              <w:t>/COD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0.34-0.38</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0.36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NH</w:t>
            </w:r>
            <w:r>
              <w:rPr>
                <w:rFonts w:hint="default" w:ascii="Times New Roman" w:hAnsi="Times New Roman" w:cs="Times New Roman"/>
                <w:szCs w:val="21"/>
                <w:vertAlign w:val="subscript"/>
              </w:rPr>
              <w:t>3</w:t>
            </w:r>
            <w:r>
              <w:rPr>
                <w:rFonts w:hint="default" w:ascii="Times New Roman" w:hAnsi="Times New Roman" w:cs="Times New Roman"/>
                <w:szCs w:val="21"/>
              </w:rPr>
              <w:t>-N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241.3-285.1</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263.2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NO</w:t>
            </w:r>
            <w:r>
              <w:rPr>
                <w:rFonts w:hint="default" w:ascii="Times New Roman" w:hAnsi="Times New Roman" w:cs="Times New Roman"/>
                <w:szCs w:val="21"/>
                <w:vertAlign w:val="subscript"/>
              </w:rPr>
              <w:t>3</w:t>
            </w:r>
            <w:r>
              <w:rPr>
                <w:rFonts w:hint="default" w:ascii="Times New Roman" w:hAnsi="Times New Roman" w:cs="Times New Roman"/>
                <w:szCs w:val="21"/>
              </w:rPr>
              <w:t>ˉ (mg/L)</w:t>
            </w:r>
          </w:p>
        </w:tc>
        <w:tc>
          <w:tcPr>
            <w:tcW w:w="2841" w:type="dxa"/>
            <w:tcBorders>
              <w:top w:val="nil"/>
              <w:left w:val="nil"/>
              <w:bottom w:val="nil"/>
              <w:right w:val="nil"/>
            </w:tcBorders>
            <w:vAlign w:val="center"/>
          </w:tcPr>
          <w:p>
            <w:pP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5.2-7.7</w:t>
            </w:r>
          </w:p>
        </w:tc>
        <w:tc>
          <w:tcPr>
            <w:tcW w:w="2455" w:type="dxa"/>
            <w:tcBorders>
              <w:top w:val="nil"/>
              <w:left w:val="nil"/>
              <w:bottom w:val="nil"/>
              <w:right w:val="nil"/>
            </w:tcBorders>
            <w:vAlign w:val="center"/>
          </w:tcPr>
          <w:p>
            <w:pP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NO</w:t>
            </w:r>
            <w:r>
              <w:rPr>
                <w:rFonts w:hint="default" w:ascii="Times New Roman" w:hAnsi="Times New Roman" w:cs="Times New Roman"/>
                <w:szCs w:val="21"/>
                <w:vertAlign w:val="subscript"/>
              </w:rPr>
              <w:t>2</w:t>
            </w:r>
            <w:r>
              <w:rPr>
                <w:rFonts w:hint="default" w:ascii="Times New Roman" w:hAnsi="Times New Roman" w:cs="Times New Roman"/>
                <w:szCs w:val="21"/>
              </w:rPr>
              <w:t>ˉ (mg/L)</w:t>
            </w:r>
          </w:p>
        </w:tc>
        <w:tc>
          <w:tcPr>
            <w:tcW w:w="2841" w:type="dxa"/>
            <w:tcBorders>
              <w:top w:val="nil"/>
              <w:left w:val="nil"/>
              <w:bottom w:val="nil"/>
              <w:right w:val="nil"/>
            </w:tcBorders>
            <w:vAlign w:val="center"/>
          </w:tcPr>
          <w:p>
            <w:pP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ND</w:t>
            </w:r>
          </w:p>
        </w:tc>
        <w:tc>
          <w:tcPr>
            <w:tcW w:w="2455" w:type="dxa"/>
            <w:tcBorders>
              <w:top w:val="nil"/>
              <w:left w:val="nil"/>
              <w:bottom w:val="nil"/>
              <w:right w:val="nil"/>
            </w:tcBorders>
            <w:vAlign w:val="center"/>
          </w:tcPr>
          <w:p>
            <w:pP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Organic nitrogen</w:t>
            </w:r>
          </w:p>
        </w:tc>
        <w:tc>
          <w:tcPr>
            <w:tcW w:w="2841" w:type="dxa"/>
            <w:tcBorders>
              <w:top w:val="nil"/>
              <w:left w:val="nil"/>
              <w:bottom w:val="nil"/>
              <w:right w:val="nil"/>
            </w:tcBorders>
            <w:vAlign w:val="center"/>
          </w:tcPr>
          <w:p>
            <w:pP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39.8-51.7</w:t>
            </w:r>
          </w:p>
        </w:tc>
        <w:tc>
          <w:tcPr>
            <w:tcW w:w="2455" w:type="dxa"/>
            <w:tcBorders>
              <w:top w:val="nil"/>
              <w:left w:val="nil"/>
              <w:bottom w:val="nil"/>
              <w:right w:val="nil"/>
            </w:tcBorders>
            <w:vAlign w:val="center"/>
          </w:tcPr>
          <w:p>
            <w:pP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TN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298.2-332.6</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315.4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TOC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1125-1369</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1247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TP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2.36-3.52</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2.94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Clˉ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0.45-1.32</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0.89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Tph (mg/L)</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512-535</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523.5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pH</w:t>
            </w:r>
          </w:p>
        </w:tc>
        <w:tc>
          <w:tcPr>
            <w:tcW w:w="2841"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eastAsia="宋体" w:cs="Times New Roman"/>
                <w:color w:val="000000"/>
                <w:szCs w:val="21"/>
              </w:rPr>
              <w:t>7.39-7.62</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7.51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Conductivity (us/cm)</w:t>
            </w:r>
          </w:p>
        </w:tc>
        <w:tc>
          <w:tcPr>
            <w:tcW w:w="0" w:type="auto"/>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1728-1916</w:t>
            </w:r>
          </w:p>
        </w:tc>
        <w:tc>
          <w:tcPr>
            <w:tcW w:w="2455" w:type="dxa"/>
            <w:tcBorders>
              <w:top w:val="nil"/>
              <w:left w:val="nil"/>
              <w:bottom w:val="nil"/>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1822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6" w:space="0"/>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Chromaticity</w:t>
            </w:r>
          </w:p>
        </w:tc>
        <w:tc>
          <w:tcPr>
            <w:tcW w:w="0" w:type="auto"/>
            <w:tcBorders>
              <w:top w:val="nil"/>
              <w:left w:val="nil"/>
              <w:bottom w:val="single" w:color="auto" w:sz="6" w:space="0"/>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4096</w:t>
            </w:r>
          </w:p>
        </w:tc>
        <w:tc>
          <w:tcPr>
            <w:tcW w:w="2455" w:type="dxa"/>
            <w:tcBorders>
              <w:top w:val="nil"/>
              <w:left w:val="nil"/>
              <w:bottom w:val="single" w:color="auto" w:sz="6" w:space="0"/>
              <w:right w:val="nil"/>
            </w:tcBorders>
            <w:vAlign w:val="center"/>
          </w:tcPr>
          <w:p>
            <w:pPr>
              <w:rPr>
                <w:rFonts w:hint="default" w:ascii="Times New Roman" w:hAnsi="Times New Roman" w:cs="Times New Roman"/>
                <w:szCs w:val="21"/>
              </w:rPr>
            </w:pPr>
            <w:r>
              <w:rPr>
                <w:rFonts w:hint="default" w:ascii="Times New Roman" w:hAnsi="Times New Roman" w:cs="Times New Roman"/>
                <w:szCs w:val="21"/>
              </w:rPr>
              <w:t>4096</w:t>
            </w:r>
          </w:p>
        </w:tc>
      </w:tr>
    </w:tbl>
    <w:p>
      <w:pPr>
        <w:pStyle w:val="19"/>
        <w:jc w:val="both"/>
        <w:rPr>
          <w:rFonts w:hint="default" w:ascii="Times New Roman" w:hAnsi="Times New Roman" w:cs="Times New Roman"/>
          <w:szCs w:val="21"/>
        </w:rPr>
      </w:pPr>
      <w:r>
        <w:rPr>
          <w:rFonts w:hint="default" w:ascii="Times New Roman" w:hAnsi="Times New Roman" w:cs="Times New Roman"/>
          <w:szCs w:val="21"/>
        </w:rPr>
        <w:t xml:space="preserve"> </w:t>
      </w:r>
    </w:p>
    <w:p>
      <w:pPr>
        <w:widowControl/>
        <w:jc w:val="left"/>
        <w:rPr>
          <w:rFonts w:hint="default" w:ascii="Times New Roman" w:hAnsi="Times New Roman" w:eastAsia="宋体" w:cs="Times New Roman"/>
          <w:sz w:val="22"/>
          <w:szCs w:val="21"/>
        </w:rPr>
      </w:pPr>
      <w:r>
        <w:rPr>
          <w:rFonts w:hint="default" w:ascii="Times New Roman" w:hAnsi="Times New Roman" w:cs="Times New Roman"/>
          <w:szCs w:val="21"/>
        </w:rPr>
        <w:br w:type="page"/>
      </w:r>
    </w:p>
    <w:p>
      <w:pPr>
        <w:jc w:val="center"/>
        <w:rPr>
          <w:rFonts w:hint="default" w:ascii="Times New Roman" w:hAnsi="Times New Roman" w:eastAsia="宋体" w:cs="Times New Roman"/>
        </w:rPr>
      </w:pPr>
      <w:r>
        <w:rPr>
          <w:rFonts w:hint="default" w:ascii="Times New Roman" w:hAnsi="Times New Roman" w:eastAsia="宋体" w:cs="Times New Roman"/>
          <w:b/>
          <w:bCs/>
          <w:spacing w:val="6"/>
          <w:kern w:val="0"/>
          <w:szCs w:val="21"/>
        </w:rPr>
        <w:t>Table S2.</w:t>
      </w:r>
      <w:r>
        <w:rPr>
          <w:rFonts w:hint="default" w:ascii="Times New Roman" w:hAnsi="Times New Roman" w:eastAsia="宋体" w:cs="Times New Roman"/>
          <w:spacing w:val="6"/>
          <w:kern w:val="0"/>
          <w:szCs w:val="21"/>
        </w:rPr>
        <w:t xml:space="preserve"> </w:t>
      </w:r>
      <w:r>
        <w:rPr>
          <w:rFonts w:hint="default" w:ascii="Times New Roman" w:hAnsi="Times New Roman" w:eastAsia="宋体" w:cs="Times New Roman"/>
        </w:rPr>
        <w:t>The parameters of reactor process and operational stages.</w:t>
      </w:r>
    </w:p>
    <w:tbl>
      <w:tblPr>
        <w:tblStyle w:val="9"/>
        <w:tblW w:w="9483"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9"/>
        <w:gridCol w:w="750"/>
        <w:gridCol w:w="770"/>
        <w:gridCol w:w="1376"/>
        <w:gridCol w:w="2135"/>
        <w:gridCol w:w="959"/>
        <w:gridCol w:w="1263"/>
        <w:gridCol w:w="118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bookmarkStart w:id="5" w:name="OLE_LINK17"/>
            <w:bookmarkStart w:id="6" w:name="OLE_LINK16"/>
            <w:r>
              <w:rPr>
                <w:rFonts w:hint="default" w:ascii="Times New Roman" w:hAnsi="Times New Roman" w:eastAsia="宋体" w:cs="Times New Roman"/>
                <w:color w:val="000000"/>
                <w:szCs w:val="21"/>
              </w:rPr>
              <w:t>Reactor</w:t>
            </w:r>
          </w:p>
        </w:tc>
        <w:tc>
          <w:tcPr>
            <w:tcW w:w="750"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Stage</w:t>
            </w:r>
          </w:p>
        </w:tc>
        <w:tc>
          <w:tcPr>
            <w:tcW w:w="770"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Days</w:t>
            </w:r>
          </w:p>
        </w:tc>
        <w:tc>
          <w:tcPr>
            <w:tcW w:w="1376"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COD (mg/L)</w:t>
            </w:r>
          </w:p>
        </w:tc>
        <w:tc>
          <w:tcPr>
            <w:tcW w:w="2135"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OLR (kg</w:t>
            </w:r>
            <w:r>
              <w:rPr>
                <w:rFonts w:hint="default" w:ascii="Times New Roman" w:hAnsi="Times New Roman" w:eastAsia="宋体" w:cs="Times New Roman"/>
                <w:color w:val="000000"/>
                <w:szCs w:val="21"/>
                <w:vertAlign w:val="subscript"/>
              </w:rPr>
              <w:t>COD</w:t>
            </w:r>
            <w:r>
              <w:rPr>
                <w:rFonts w:hint="default" w:ascii="Times New Roman" w:hAnsi="Times New Roman" w:eastAsia="宋体" w:cs="Times New Roman"/>
                <w:color w:val="000000"/>
                <w:szCs w:val="21"/>
              </w:rPr>
              <w:t>/kg</w:t>
            </w:r>
            <w:r>
              <w:rPr>
                <w:rFonts w:hint="default" w:ascii="Times New Roman" w:hAnsi="Times New Roman" w:eastAsia="宋体" w:cs="Times New Roman"/>
                <w:color w:val="000000"/>
                <w:szCs w:val="21"/>
                <w:vertAlign w:val="subscript"/>
              </w:rPr>
              <w:t>VSS·L·d</w:t>
            </w:r>
            <w:r>
              <w:rPr>
                <w:rFonts w:hint="default" w:ascii="Times New Roman" w:hAnsi="Times New Roman" w:eastAsia="宋体" w:cs="Times New Roman"/>
                <w:color w:val="000000"/>
                <w:szCs w:val="21"/>
              </w:rPr>
              <w:t>)</w:t>
            </w:r>
          </w:p>
        </w:tc>
        <w:tc>
          <w:tcPr>
            <w:tcW w:w="959"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HRT (h)</w:t>
            </w:r>
          </w:p>
        </w:tc>
        <w:tc>
          <w:tcPr>
            <w:tcW w:w="1263"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Reflux ratio</w:t>
            </w:r>
          </w:p>
        </w:tc>
        <w:tc>
          <w:tcPr>
            <w:tcW w:w="1181" w:type="dxa"/>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DO (mg/L)</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restart"/>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HA</w:t>
            </w:r>
          </w:p>
        </w:tc>
        <w:tc>
          <w:tcPr>
            <w:tcW w:w="750"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w:t>
            </w:r>
          </w:p>
        </w:tc>
        <w:tc>
          <w:tcPr>
            <w:tcW w:w="770"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1~37</w:t>
            </w:r>
          </w:p>
        </w:tc>
        <w:tc>
          <w:tcPr>
            <w:tcW w:w="1376"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1120~1417</w:t>
            </w:r>
          </w:p>
        </w:tc>
        <w:tc>
          <w:tcPr>
            <w:tcW w:w="2135"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0.11-0.14</w:t>
            </w:r>
          </w:p>
        </w:tc>
        <w:tc>
          <w:tcPr>
            <w:tcW w:w="959" w:type="dxa"/>
            <w:vMerge w:val="restart"/>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w:t>
            </w:r>
          </w:p>
        </w:tc>
        <w:tc>
          <w:tcPr>
            <w:tcW w:w="1263" w:type="dxa"/>
            <w:vMerge w:val="restart"/>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6:1</w:t>
            </w:r>
          </w:p>
        </w:tc>
        <w:tc>
          <w:tcPr>
            <w:tcW w:w="1181" w:type="dxa"/>
            <w:vMerge w:val="restart"/>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continue"/>
            <w:vAlign w:val="center"/>
          </w:tcPr>
          <w:p>
            <w:pPr>
              <w:jc w:val="left"/>
              <w:rPr>
                <w:rFonts w:hint="default" w:ascii="Times New Roman" w:hAnsi="Times New Roman" w:eastAsia="宋体" w:cs="Times New Roman"/>
                <w:color w:val="000000"/>
                <w:szCs w:val="21"/>
              </w:rPr>
            </w:pPr>
          </w:p>
        </w:tc>
        <w:tc>
          <w:tcPr>
            <w:tcW w:w="750"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II</w:t>
            </w:r>
          </w:p>
        </w:tc>
        <w:tc>
          <w:tcPr>
            <w:tcW w:w="770"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FF0000"/>
                <w:szCs w:val="21"/>
                <w:highlight w:val="none"/>
              </w:rPr>
              <w:t>38</w:t>
            </w:r>
            <w:r>
              <w:rPr>
                <w:rFonts w:hint="default" w:ascii="Times New Roman" w:hAnsi="Times New Roman" w:eastAsia="宋体" w:cs="Times New Roman"/>
                <w:color w:val="000000"/>
                <w:szCs w:val="21"/>
              </w:rPr>
              <w:t>~51</w:t>
            </w:r>
          </w:p>
        </w:tc>
        <w:tc>
          <w:tcPr>
            <w:tcW w:w="1376"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2464 ~2763</w:t>
            </w:r>
          </w:p>
        </w:tc>
        <w:tc>
          <w:tcPr>
            <w:tcW w:w="2135"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0.25~0.28</w:t>
            </w:r>
          </w:p>
        </w:tc>
        <w:tc>
          <w:tcPr>
            <w:tcW w:w="959" w:type="dxa"/>
            <w:vMerge w:val="continue"/>
            <w:vAlign w:val="center"/>
          </w:tcPr>
          <w:p>
            <w:pPr>
              <w:jc w:val="left"/>
              <w:rPr>
                <w:rFonts w:hint="default" w:ascii="Times New Roman" w:hAnsi="Times New Roman" w:eastAsia="宋体" w:cs="Times New Roman"/>
                <w:color w:val="000000"/>
                <w:szCs w:val="21"/>
              </w:rPr>
            </w:pPr>
          </w:p>
        </w:tc>
        <w:tc>
          <w:tcPr>
            <w:tcW w:w="1263" w:type="dxa"/>
            <w:vMerge w:val="continue"/>
            <w:vAlign w:val="center"/>
          </w:tcPr>
          <w:p>
            <w:pPr>
              <w:jc w:val="left"/>
              <w:rPr>
                <w:rFonts w:hint="default" w:ascii="Times New Roman" w:hAnsi="Times New Roman" w:eastAsia="宋体" w:cs="Times New Roman"/>
                <w:color w:val="000000"/>
                <w:szCs w:val="21"/>
              </w:rPr>
            </w:pPr>
          </w:p>
        </w:tc>
        <w:tc>
          <w:tcPr>
            <w:tcW w:w="1181" w:type="dxa"/>
            <w:vMerge w:val="continue"/>
            <w:vAlign w:val="center"/>
          </w:tcPr>
          <w:p>
            <w:pPr>
              <w:jc w:val="left"/>
              <w:rPr>
                <w:rFonts w:hint="default" w:ascii="Times New Roman" w:hAnsi="Times New Roman" w:eastAsia="宋体" w:cs="Times New Roman"/>
                <w:color w:val="000000"/>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continue"/>
            <w:tcBorders>
              <w:bottom w:val="single" w:color="auto" w:sz="4" w:space="0"/>
            </w:tcBorders>
            <w:vAlign w:val="center"/>
          </w:tcPr>
          <w:p>
            <w:pPr>
              <w:jc w:val="left"/>
              <w:rPr>
                <w:rFonts w:hint="default" w:ascii="Times New Roman" w:hAnsi="Times New Roman" w:eastAsia="宋体" w:cs="Times New Roman"/>
                <w:color w:val="000000"/>
                <w:szCs w:val="21"/>
              </w:rPr>
            </w:pPr>
          </w:p>
        </w:tc>
        <w:tc>
          <w:tcPr>
            <w:tcW w:w="750"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III</w:t>
            </w:r>
          </w:p>
        </w:tc>
        <w:tc>
          <w:tcPr>
            <w:tcW w:w="770"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52~90</w:t>
            </w:r>
          </w:p>
        </w:tc>
        <w:tc>
          <w:tcPr>
            <w:tcW w:w="1376"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2916~3439</w:t>
            </w:r>
          </w:p>
        </w:tc>
        <w:tc>
          <w:tcPr>
            <w:tcW w:w="2135"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0.29~0.34</w:t>
            </w:r>
          </w:p>
        </w:tc>
        <w:tc>
          <w:tcPr>
            <w:tcW w:w="959" w:type="dxa"/>
            <w:vMerge w:val="continue"/>
            <w:tcBorders>
              <w:bottom w:val="single" w:color="auto" w:sz="4" w:space="0"/>
            </w:tcBorders>
            <w:vAlign w:val="center"/>
          </w:tcPr>
          <w:p>
            <w:pPr>
              <w:jc w:val="left"/>
              <w:rPr>
                <w:rFonts w:hint="default" w:ascii="Times New Roman" w:hAnsi="Times New Roman" w:eastAsia="宋体" w:cs="Times New Roman"/>
                <w:color w:val="000000"/>
                <w:szCs w:val="21"/>
              </w:rPr>
            </w:pPr>
          </w:p>
        </w:tc>
        <w:tc>
          <w:tcPr>
            <w:tcW w:w="1263" w:type="dxa"/>
            <w:vMerge w:val="continue"/>
            <w:tcBorders>
              <w:bottom w:val="single" w:color="auto" w:sz="4" w:space="0"/>
            </w:tcBorders>
            <w:vAlign w:val="center"/>
          </w:tcPr>
          <w:p>
            <w:pPr>
              <w:jc w:val="left"/>
              <w:rPr>
                <w:rFonts w:hint="default" w:ascii="Times New Roman" w:hAnsi="Times New Roman" w:eastAsia="宋体" w:cs="Times New Roman"/>
                <w:color w:val="000000"/>
                <w:szCs w:val="21"/>
              </w:rPr>
            </w:pPr>
          </w:p>
        </w:tc>
        <w:tc>
          <w:tcPr>
            <w:tcW w:w="1181" w:type="dxa"/>
            <w:vMerge w:val="continue"/>
            <w:tcBorders>
              <w:bottom w:val="single" w:color="auto" w:sz="4" w:space="0"/>
            </w:tcBorders>
            <w:vAlign w:val="center"/>
          </w:tcPr>
          <w:p>
            <w:pPr>
              <w:jc w:val="left"/>
              <w:rPr>
                <w:rFonts w:hint="default" w:ascii="Times New Roman" w:hAnsi="Times New Roman" w:eastAsia="宋体" w:cs="Times New Roman"/>
                <w:color w:val="000000"/>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restart"/>
            <w:tcBorders>
              <w:top w:val="single" w:color="auto" w:sz="4" w:space="0"/>
              <w:bottom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MAHA-1</w:t>
            </w:r>
          </w:p>
        </w:tc>
        <w:tc>
          <w:tcPr>
            <w:tcW w:w="750" w:type="dxa"/>
            <w:tcBorders>
              <w:top w:val="single" w:color="auto" w:sz="4" w:space="0"/>
              <w:bottom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w:t>
            </w:r>
          </w:p>
        </w:tc>
        <w:tc>
          <w:tcPr>
            <w:tcW w:w="770" w:type="dxa"/>
            <w:tcBorders>
              <w:top w:val="single" w:color="auto" w:sz="4" w:space="0"/>
              <w:bottom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1~37</w:t>
            </w:r>
          </w:p>
        </w:tc>
        <w:tc>
          <w:tcPr>
            <w:tcW w:w="1376" w:type="dxa"/>
            <w:tcBorders>
              <w:top w:val="single" w:color="auto" w:sz="4" w:space="0"/>
              <w:bottom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1120~1417</w:t>
            </w:r>
          </w:p>
        </w:tc>
        <w:tc>
          <w:tcPr>
            <w:tcW w:w="2135" w:type="dxa"/>
            <w:tcBorders>
              <w:top w:val="single" w:color="auto" w:sz="4" w:space="0"/>
              <w:bottom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0.11-0.14</w:t>
            </w:r>
          </w:p>
        </w:tc>
        <w:tc>
          <w:tcPr>
            <w:tcW w:w="959" w:type="dxa"/>
            <w:vMerge w:val="restart"/>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w:t>
            </w:r>
          </w:p>
        </w:tc>
        <w:tc>
          <w:tcPr>
            <w:tcW w:w="1263" w:type="dxa"/>
            <w:vMerge w:val="restart"/>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6:1</w:t>
            </w:r>
          </w:p>
        </w:tc>
        <w:tc>
          <w:tcPr>
            <w:tcW w:w="1181" w:type="dxa"/>
            <w:vMerge w:val="restart"/>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bookmarkStart w:id="7" w:name="OLE_LINK1"/>
            <w:r>
              <w:rPr>
                <w:rFonts w:hint="default" w:ascii="Times New Roman" w:hAnsi="Times New Roman" w:eastAsia="宋体" w:cs="Times New Roman"/>
                <w:color w:val="000000"/>
                <w:szCs w:val="21"/>
              </w:rPr>
              <w:t>0~0.1</w:t>
            </w:r>
            <w:bookmarkEnd w:id="7"/>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continue"/>
            <w:tcBorders>
              <w:top w:val="nil"/>
            </w:tcBorders>
            <w:vAlign w:val="center"/>
          </w:tcPr>
          <w:p>
            <w:pPr>
              <w:jc w:val="left"/>
              <w:rPr>
                <w:rFonts w:hint="default" w:ascii="Times New Roman" w:hAnsi="Times New Roman" w:eastAsia="宋体" w:cs="Times New Roman"/>
                <w:color w:val="000000"/>
                <w:szCs w:val="21"/>
              </w:rPr>
            </w:pPr>
          </w:p>
        </w:tc>
        <w:tc>
          <w:tcPr>
            <w:tcW w:w="750" w:type="dxa"/>
            <w:tcBorders>
              <w:top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II</w:t>
            </w:r>
          </w:p>
        </w:tc>
        <w:tc>
          <w:tcPr>
            <w:tcW w:w="770" w:type="dxa"/>
            <w:tcBorders>
              <w:top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FF0000"/>
                <w:szCs w:val="21"/>
                <w:highlight w:val="none"/>
              </w:rPr>
              <w:t>38</w:t>
            </w:r>
            <w:r>
              <w:rPr>
                <w:rFonts w:hint="default" w:ascii="Times New Roman" w:hAnsi="Times New Roman" w:eastAsia="宋体" w:cs="Times New Roman"/>
                <w:color w:val="000000"/>
                <w:szCs w:val="21"/>
              </w:rPr>
              <w:t>~51</w:t>
            </w:r>
          </w:p>
        </w:tc>
        <w:tc>
          <w:tcPr>
            <w:tcW w:w="1376" w:type="dxa"/>
            <w:tcBorders>
              <w:top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2464 ~2763</w:t>
            </w:r>
          </w:p>
        </w:tc>
        <w:tc>
          <w:tcPr>
            <w:tcW w:w="2135" w:type="dxa"/>
            <w:tcBorders>
              <w:top w:val="nil"/>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0.25~0.28</w:t>
            </w:r>
          </w:p>
        </w:tc>
        <w:tc>
          <w:tcPr>
            <w:tcW w:w="959" w:type="dxa"/>
            <w:vMerge w:val="continue"/>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p>
        </w:tc>
        <w:tc>
          <w:tcPr>
            <w:tcW w:w="1263" w:type="dxa"/>
            <w:vMerge w:val="continue"/>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p>
        </w:tc>
        <w:tc>
          <w:tcPr>
            <w:tcW w:w="1181" w:type="dxa"/>
            <w:vMerge w:val="continue"/>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continue"/>
            <w:tcBorders>
              <w:bottom w:val="single" w:color="auto" w:sz="4" w:space="0"/>
            </w:tcBorders>
            <w:vAlign w:val="center"/>
          </w:tcPr>
          <w:p>
            <w:pPr>
              <w:jc w:val="left"/>
              <w:rPr>
                <w:rFonts w:hint="default" w:ascii="Times New Roman" w:hAnsi="Times New Roman" w:eastAsia="宋体" w:cs="Times New Roman"/>
                <w:color w:val="000000"/>
                <w:szCs w:val="21"/>
              </w:rPr>
            </w:pPr>
          </w:p>
        </w:tc>
        <w:tc>
          <w:tcPr>
            <w:tcW w:w="750"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III</w:t>
            </w:r>
          </w:p>
        </w:tc>
        <w:tc>
          <w:tcPr>
            <w:tcW w:w="770"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52~90</w:t>
            </w:r>
          </w:p>
        </w:tc>
        <w:tc>
          <w:tcPr>
            <w:tcW w:w="1376"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2916~3439</w:t>
            </w:r>
          </w:p>
        </w:tc>
        <w:tc>
          <w:tcPr>
            <w:tcW w:w="2135"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0.29~0.34</w:t>
            </w:r>
          </w:p>
        </w:tc>
        <w:tc>
          <w:tcPr>
            <w:tcW w:w="959" w:type="dxa"/>
            <w:vMerge w:val="continue"/>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p>
        </w:tc>
        <w:tc>
          <w:tcPr>
            <w:tcW w:w="1263" w:type="dxa"/>
            <w:vMerge w:val="continue"/>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p>
        </w:tc>
        <w:tc>
          <w:tcPr>
            <w:tcW w:w="1181" w:type="dxa"/>
            <w:vMerge w:val="continue"/>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restart"/>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MAHA-2</w:t>
            </w:r>
          </w:p>
        </w:tc>
        <w:tc>
          <w:tcPr>
            <w:tcW w:w="750"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w:t>
            </w:r>
          </w:p>
        </w:tc>
        <w:tc>
          <w:tcPr>
            <w:tcW w:w="770"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1~37</w:t>
            </w:r>
          </w:p>
        </w:tc>
        <w:tc>
          <w:tcPr>
            <w:tcW w:w="1376"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1120~1417</w:t>
            </w:r>
          </w:p>
        </w:tc>
        <w:tc>
          <w:tcPr>
            <w:tcW w:w="2135" w:type="dxa"/>
            <w:tcBorders>
              <w:top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0.11-0.14</w:t>
            </w:r>
          </w:p>
        </w:tc>
        <w:tc>
          <w:tcPr>
            <w:tcW w:w="959" w:type="dxa"/>
            <w:vMerge w:val="restart"/>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w:t>
            </w:r>
          </w:p>
        </w:tc>
        <w:tc>
          <w:tcPr>
            <w:tcW w:w="1263" w:type="dxa"/>
            <w:vMerge w:val="restart"/>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6:1</w:t>
            </w:r>
          </w:p>
        </w:tc>
        <w:tc>
          <w:tcPr>
            <w:tcW w:w="1181" w:type="dxa"/>
            <w:vMerge w:val="restart"/>
            <w:tcBorders>
              <w:top w:val="single" w:color="auto" w:sz="4" w:space="0"/>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0.2~0.3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continue"/>
            <w:vAlign w:val="center"/>
          </w:tcPr>
          <w:p>
            <w:pPr>
              <w:jc w:val="left"/>
              <w:rPr>
                <w:rFonts w:hint="default" w:ascii="Times New Roman" w:hAnsi="Times New Roman" w:eastAsia="宋体" w:cs="Times New Roman"/>
                <w:sz w:val="28"/>
                <w:szCs w:val="28"/>
              </w:rPr>
            </w:pPr>
          </w:p>
        </w:tc>
        <w:tc>
          <w:tcPr>
            <w:tcW w:w="750"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II</w:t>
            </w:r>
          </w:p>
        </w:tc>
        <w:tc>
          <w:tcPr>
            <w:tcW w:w="770"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FF0000"/>
                <w:szCs w:val="21"/>
                <w:highlight w:val="none"/>
              </w:rPr>
              <w:t>38</w:t>
            </w:r>
            <w:r>
              <w:rPr>
                <w:rFonts w:hint="default" w:ascii="Times New Roman" w:hAnsi="Times New Roman" w:eastAsia="宋体" w:cs="Times New Roman"/>
                <w:color w:val="000000"/>
                <w:szCs w:val="21"/>
              </w:rPr>
              <w:t>~51</w:t>
            </w:r>
          </w:p>
        </w:tc>
        <w:tc>
          <w:tcPr>
            <w:tcW w:w="1376" w:type="dxa"/>
            <w:vAlign w:val="center"/>
          </w:tcPr>
          <w:p>
            <w:pPr>
              <w:jc w:val="left"/>
              <w:rPr>
                <w:rFonts w:hint="default" w:ascii="Times New Roman" w:hAnsi="Times New Roman" w:eastAsia="宋体" w:cs="Times New Roman"/>
                <w:sz w:val="28"/>
                <w:szCs w:val="28"/>
              </w:rPr>
            </w:pPr>
            <w:r>
              <w:rPr>
                <w:rFonts w:hint="default" w:ascii="Times New Roman" w:hAnsi="Times New Roman" w:eastAsia="宋体" w:cs="Times New Roman"/>
                <w:color w:val="000000"/>
                <w:szCs w:val="21"/>
              </w:rPr>
              <w:t>2464 ~2763</w:t>
            </w:r>
          </w:p>
        </w:tc>
        <w:tc>
          <w:tcPr>
            <w:tcW w:w="2135" w:type="dxa"/>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0.25~0.28</w:t>
            </w:r>
          </w:p>
        </w:tc>
        <w:tc>
          <w:tcPr>
            <w:tcW w:w="959" w:type="dxa"/>
            <w:vMerge w:val="continue"/>
            <w:tcBorders>
              <w:top w:val="single" w:color="auto" w:sz="4" w:space="0"/>
              <w:bottom w:val="single" w:color="auto" w:sz="4" w:space="0"/>
            </w:tcBorders>
            <w:vAlign w:val="center"/>
          </w:tcPr>
          <w:p>
            <w:pPr>
              <w:spacing w:line="320" w:lineRule="exact"/>
              <w:jc w:val="left"/>
              <w:rPr>
                <w:rFonts w:hint="default" w:ascii="Times New Roman" w:hAnsi="Times New Roman" w:eastAsia="宋体" w:cs="Times New Roman"/>
                <w:sz w:val="28"/>
                <w:szCs w:val="28"/>
              </w:rPr>
            </w:pPr>
          </w:p>
        </w:tc>
        <w:tc>
          <w:tcPr>
            <w:tcW w:w="1263" w:type="dxa"/>
            <w:vMerge w:val="continue"/>
            <w:tcBorders>
              <w:top w:val="single" w:color="auto" w:sz="4" w:space="0"/>
              <w:bottom w:val="single" w:color="auto" w:sz="4" w:space="0"/>
            </w:tcBorders>
            <w:vAlign w:val="center"/>
          </w:tcPr>
          <w:p>
            <w:pPr>
              <w:spacing w:line="320" w:lineRule="exact"/>
              <w:jc w:val="left"/>
              <w:rPr>
                <w:rFonts w:hint="default" w:ascii="Times New Roman" w:hAnsi="Times New Roman" w:eastAsia="宋体" w:cs="Times New Roman"/>
                <w:sz w:val="28"/>
                <w:szCs w:val="28"/>
              </w:rPr>
            </w:pPr>
          </w:p>
        </w:tc>
        <w:tc>
          <w:tcPr>
            <w:tcW w:w="1181" w:type="dxa"/>
            <w:vMerge w:val="continue"/>
            <w:tcBorders>
              <w:top w:val="single" w:color="auto" w:sz="4" w:space="0"/>
              <w:bottom w:val="single" w:color="auto" w:sz="4" w:space="0"/>
            </w:tcBorders>
            <w:vAlign w:val="center"/>
          </w:tcPr>
          <w:p>
            <w:pPr>
              <w:spacing w:line="320" w:lineRule="exact"/>
              <w:jc w:val="left"/>
              <w:rPr>
                <w:rFonts w:hint="default" w:ascii="Times New Roman" w:hAnsi="Times New Roman" w:eastAsia="宋体" w:cs="Times New Roman"/>
                <w:sz w:val="28"/>
                <w:szCs w:val="28"/>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9" w:type="dxa"/>
            <w:vMerge w:val="continue"/>
            <w:tcBorders>
              <w:bottom w:val="single" w:color="auto" w:sz="4" w:space="0"/>
            </w:tcBorders>
            <w:vAlign w:val="center"/>
          </w:tcPr>
          <w:p>
            <w:pPr>
              <w:jc w:val="left"/>
              <w:rPr>
                <w:rFonts w:hint="default" w:ascii="Times New Roman" w:hAnsi="Times New Roman" w:eastAsia="宋体" w:cs="Times New Roman"/>
                <w:sz w:val="28"/>
                <w:szCs w:val="28"/>
              </w:rPr>
            </w:pPr>
          </w:p>
        </w:tc>
        <w:tc>
          <w:tcPr>
            <w:tcW w:w="750"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III</w:t>
            </w:r>
          </w:p>
        </w:tc>
        <w:tc>
          <w:tcPr>
            <w:tcW w:w="770"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52~90</w:t>
            </w:r>
          </w:p>
        </w:tc>
        <w:tc>
          <w:tcPr>
            <w:tcW w:w="1376" w:type="dxa"/>
            <w:tcBorders>
              <w:bottom w:val="single" w:color="auto" w:sz="4" w:space="0"/>
            </w:tcBorders>
            <w:vAlign w:val="center"/>
          </w:tcPr>
          <w:p>
            <w:pPr>
              <w:jc w:val="left"/>
              <w:rPr>
                <w:rFonts w:hint="default" w:ascii="Times New Roman" w:hAnsi="Times New Roman" w:eastAsia="宋体" w:cs="Times New Roman"/>
                <w:sz w:val="28"/>
                <w:szCs w:val="28"/>
              </w:rPr>
            </w:pPr>
            <w:r>
              <w:rPr>
                <w:rFonts w:hint="default" w:ascii="Times New Roman" w:hAnsi="Times New Roman" w:eastAsia="宋体" w:cs="Times New Roman"/>
                <w:color w:val="000000"/>
                <w:szCs w:val="21"/>
              </w:rPr>
              <w:t>2916~3439</w:t>
            </w:r>
          </w:p>
        </w:tc>
        <w:tc>
          <w:tcPr>
            <w:tcW w:w="2135" w:type="dxa"/>
            <w:tcBorders>
              <w:bottom w:val="single" w:color="auto" w:sz="4" w:space="0"/>
            </w:tcBorders>
            <w:vAlign w:val="center"/>
          </w:tcPr>
          <w:p>
            <w:pPr>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0.29~0.34</w:t>
            </w:r>
          </w:p>
        </w:tc>
        <w:tc>
          <w:tcPr>
            <w:tcW w:w="959" w:type="dxa"/>
            <w:vMerge w:val="continue"/>
            <w:tcBorders>
              <w:top w:val="single" w:color="auto" w:sz="4" w:space="0"/>
              <w:bottom w:val="single" w:color="auto" w:sz="4" w:space="0"/>
            </w:tcBorders>
            <w:vAlign w:val="center"/>
          </w:tcPr>
          <w:p>
            <w:pPr>
              <w:spacing w:line="320" w:lineRule="exact"/>
              <w:jc w:val="left"/>
              <w:rPr>
                <w:rFonts w:hint="default" w:ascii="Times New Roman" w:hAnsi="Times New Roman" w:eastAsia="宋体" w:cs="Times New Roman"/>
                <w:sz w:val="28"/>
                <w:szCs w:val="28"/>
              </w:rPr>
            </w:pPr>
          </w:p>
        </w:tc>
        <w:tc>
          <w:tcPr>
            <w:tcW w:w="1263" w:type="dxa"/>
            <w:vMerge w:val="continue"/>
            <w:tcBorders>
              <w:top w:val="single" w:color="auto" w:sz="4" w:space="0"/>
              <w:bottom w:val="single" w:color="auto" w:sz="4" w:space="0"/>
            </w:tcBorders>
            <w:vAlign w:val="center"/>
          </w:tcPr>
          <w:p>
            <w:pPr>
              <w:spacing w:line="320" w:lineRule="exact"/>
              <w:jc w:val="left"/>
              <w:rPr>
                <w:rFonts w:hint="default" w:ascii="Times New Roman" w:hAnsi="Times New Roman" w:eastAsia="宋体" w:cs="Times New Roman"/>
                <w:sz w:val="28"/>
                <w:szCs w:val="28"/>
              </w:rPr>
            </w:pPr>
          </w:p>
        </w:tc>
        <w:tc>
          <w:tcPr>
            <w:tcW w:w="1181" w:type="dxa"/>
            <w:vMerge w:val="continue"/>
            <w:tcBorders>
              <w:top w:val="single" w:color="auto" w:sz="4" w:space="0"/>
              <w:bottom w:val="single" w:color="auto" w:sz="4" w:space="0"/>
            </w:tcBorders>
            <w:vAlign w:val="center"/>
          </w:tcPr>
          <w:p>
            <w:pPr>
              <w:spacing w:line="320" w:lineRule="exact"/>
              <w:jc w:val="left"/>
              <w:rPr>
                <w:rFonts w:hint="default" w:ascii="Times New Roman" w:hAnsi="Times New Roman" w:eastAsia="宋体" w:cs="Times New Roman"/>
                <w:sz w:val="28"/>
                <w:szCs w:val="28"/>
              </w:rPr>
            </w:pPr>
          </w:p>
        </w:tc>
      </w:tr>
      <w:bookmarkEnd w:id="5"/>
      <w:bookmarkEnd w:id="6"/>
    </w:tbl>
    <w:p>
      <w:pPr>
        <w:widowControl/>
        <w:jc w:val="left"/>
        <w:rPr>
          <w:rFonts w:hint="default" w:ascii="Times New Roman" w:hAnsi="Times New Roman" w:eastAsia="宋体" w:cs="Times New Roman"/>
        </w:rPr>
      </w:pPr>
    </w:p>
    <w:p>
      <w:pPr>
        <w:rPr>
          <w:rFonts w:hint="default" w:ascii="Times New Roman" w:hAnsi="Times New Roman" w:eastAsia="宋体" w:cs="Times New Roman"/>
          <w:spacing w:val="6"/>
          <w:kern w:val="0"/>
          <w:szCs w:val="21"/>
        </w:rPr>
      </w:pPr>
    </w:p>
    <w:p>
      <w:pPr>
        <w:widowControl/>
        <w:jc w:val="left"/>
        <w:rPr>
          <w:rFonts w:hint="default" w:ascii="Times New Roman" w:hAnsi="Times New Roman" w:cs="Times New Roman"/>
          <w:szCs w:val="21"/>
        </w:rPr>
      </w:pPr>
      <w:r>
        <w:rPr>
          <w:rFonts w:hint="default" w:ascii="Times New Roman" w:hAnsi="Times New Roman" w:cs="Times New Roman"/>
          <w:szCs w:val="21"/>
        </w:rPr>
        <w:br w:type="page"/>
      </w:r>
    </w:p>
    <w:p>
      <w:pPr>
        <w:jc w:val="center"/>
        <w:rPr>
          <w:rFonts w:hint="default" w:ascii="Times New Roman" w:hAnsi="Times New Roman" w:eastAsia="宋体" w:cs="Times New Roman"/>
          <w:spacing w:val="6"/>
          <w:kern w:val="0"/>
          <w:szCs w:val="21"/>
        </w:rPr>
      </w:pPr>
      <w:r>
        <w:rPr>
          <w:rFonts w:hint="default" w:ascii="Times New Roman" w:hAnsi="Times New Roman" w:eastAsia="宋体" w:cs="Times New Roman"/>
          <w:b/>
          <w:bCs/>
          <w:spacing w:val="6"/>
          <w:kern w:val="0"/>
          <w:szCs w:val="21"/>
        </w:rPr>
        <w:t>Table S3.</w:t>
      </w:r>
      <w:r>
        <w:rPr>
          <w:rFonts w:hint="default" w:ascii="Times New Roman" w:hAnsi="Times New Roman" w:eastAsia="宋体" w:cs="Times New Roman"/>
          <w:spacing w:val="6"/>
          <w:kern w:val="0"/>
          <w:szCs w:val="21"/>
        </w:rPr>
        <w:t xml:space="preserve"> The required substrates for OUR testing.</w:t>
      </w:r>
    </w:p>
    <w:tbl>
      <w:tblPr>
        <w:tblStyle w:val="9"/>
        <w:tblW w:w="0" w:type="auto"/>
        <w:tblInd w:w="20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gridCol w:w="2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Borders>
              <w:left w:val="nil"/>
              <w:bottom w:val="single" w:color="auto" w:sz="4" w:space="0"/>
              <w:right w:val="nil"/>
            </w:tcBorders>
          </w:tcPr>
          <w:p>
            <w:pPr>
              <w:rPr>
                <w:rFonts w:hint="default" w:ascii="Times New Roman" w:hAnsi="Times New Roman" w:eastAsia="宋体" w:cs="Times New Roman"/>
                <w:spacing w:val="6"/>
                <w:kern w:val="0"/>
                <w:szCs w:val="21"/>
              </w:rPr>
            </w:pPr>
            <w:r>
              <w:rPr>
                <w:rFonts w:hint="default" w:ascii="Times New Roman" w:hAnsi="Times New Roman" w:eastAsia="宋体" w:cs="Times New Roman"/>
                <w:spacing w:val="6"/>
                <w:kern w:val="0"/>
                <w:szCs w:val="21"/>
              </w:rPr>
              <w:t xml:space="preserve">Ingredient </w:t>
            </w:r>
          </w:p>
        </w:tc>
        <w:tc>
          <w:tcPr>
            <w:tcW w:w="2351" w:type="dxa"/>
            <w:tcBorders>
              <w:left w:val="nil"/>
              <w:bottom w:val="single" w:color="auto" w:sz="4" w:space="0"/>
              <w:right w:val="nil"/>
            </w:tcBorders>
          </w:tcPr>
          <w:p>
            <w:pPr>
              <w:rPr>
                <w:rFonts w:hint="default" w:ascii="Times New Roman" w:hAnsi="Times New Roman" w:eastAsia="宋体" w:cs="Times New Roman"/>
                <w:spacing w:val="6"/>
                <w:kern w:val="0"/>
                <w:szCs w:val="21"/>
              </w:rPr>
            </w:pPr>
            <w:r>
              <w:rPr>
                <w:rFonts w:hint="default" w:ascii="Times New Roman" w:hAnsi="Times New Roman" w:eastAsia="宋体" w:cs="Times New Roman"/>
                <w:spacing w:val="6"/>
                <w:kern w:val="0"/>
                <w:szCs w:val="21"/>
              </w:rPr>
              <w:t>Concentration (mg/L)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77" w:type="dxa"/>
            <w:tcBorders>
              <w:top w:val="single" w:color="auto" w:sz="4" w:space="0"/>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eastAsia="宋体" w:cs="Times New Roman"/>
                <w:spacing w:val="6"/>
                <w:kern w:val="0"/>
                <w:szCs w:val="21"/>
              </w:rPr>
              <w:t>Baeto</w:t>
            </w:r>
          </w:p>
        </w:tc>
        <w:tc>
          <w:tcPr>
            <w:tcW w:w="2351" w:type="dxa"/>
            <w:tcBorders>
              <w:top w:val="single" w:color="auto" w:sz="4" w:space="0"/>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eastAsia="宋体" w:cs="Times New Roman"/>
                <w:spacing w:val="6"/>
                <w:kern w:val="0"/>
                <w:szCs w:val="21"/>
              </w:rPr>
              <w:t>Beef extract</w:t>
            </w:r>
          </w:p>
        </w:tc>
        <w:tc>
          <w:tcPr>
            <w:tcW w:w="2351"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77"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eastAsia="宋体" w:cs="Times New Roman"/>
                <w:spacing w:val="6"/>
                <w:kern w:val="0"/>
                <w:szCs w:val="21"/>
              </w:rPr>
              <w:t>Urea</w:t>
            </w:r>
          </w:p>
        </w:tc>
        <w:tc>
          <w:tcPr>
            <w:tcW w:w="2351"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NaCl</w:t>
            </w:r>
          </w:p>
        </w:tc>
        <w:tc>
          <w:tcPr>
            <w:tcW w:w="2351"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77"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CaCl</w:t>
            </w:r>
            <w:r>
              <w:rPr>
                <w:rFonts w:hint="default" w:ascii="Times New Roman" w:hAnsi="Times New Roman" w:cs="Times New Roman"/>
                <w:vertAlign w:val="subscript"/>
              </w:rPr>
              <w:t>2</w:t>
            </w:r>
            <w:r>
              <w:rPr>
                <w:rFonts w:hint="default" w:ascii="Times New Roman" w:hAnsi="Times New Roman" w:cs="Times New Roman"/>
              </w:rPr>
              <w:t>•2H</w:t>
            </w:r>
            <w:r>
              <w:rPr>
                <w:rFonts w:hint="default" w:ascii="Times New Roman" w:hAnsi="Times New Roman" w:cs="Times New Roman"/>
                <w:vertAlign w:val="subscript"/>
              </w:rPr>
              <w:t>2</w:t>
            </w:r>
            <w:r>
              <w:rPr>
                <w:rFonts w:hint="default" w:ascii="Times New Roman" w:hAnsi="Times New Roman" w:cs="Times New Roman"/>
              </w:rPr>
              <w:t>O</w:t>
            </w:r>
          </w:p>
        </w:tc>
        <w:tc>
          <w:tcPr>
            <w:tcW w:w="2351"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MgSO</w:t>
            </w:r>
            <w:r>
              <w:rPr>
                <w:rFonts w:hint="default" w:ascii="Times New Roman" w:hAnsi="Times New Roman" w:cs="Times New Roman"/>
                <w:vertAlign w:val="subscript"/>
              </w:rPr>
              <w:t>4</w:t>
            </w:r>
            <w:r>
              <w:rPr>
                <w:rFonts w:hint="default" w:ascii="Times New Roman" w:hAnsi="Times New Roman" w:cs="Times New Roman"/>
              </w:rPr>
              <w:t>•7H</w:t>
            </w:r>
            <w:r>
              <w:rPr>
                <w:rFonts w:hint="default" w:ascii="Times New Roman" w:hAnsi="Times New Roman" w:cs="Times New Roman"/>
                <w:vertAlign w:val="subscript"/>
              </w:rPr>
              <w:t>2</w:t>
            </w:r>
            <w:r>
              <w:rPr>
                <w:rFonts w:hint="default" w:ascii="Times New Roman" w:hAnsi="Times New Roman" w:cs="Times New Roman"/>
              </w:rPr>
              <w:t>O</w:t>
            </w:r>
          </w:p>
        </w:tc>
        <w:tc>
          <w:tcPr>
            <w:tcW w:w="2351"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77"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K</w:t>
            </w:r>
            <w:r>
              <w:rPr>
                <w:rFonts w:hint="default" w:ascii="Times New Roman" w:hAnsi="Times New Roman" w:cs="Times New Roman"/>
                <w:vertAlign w:val="subscript"/>
              </w:rPr>
              <w:t>2</w:t>
            </w:r>
            <w:r>
              <w:rPr>
                <w:rFonts w:hint="default" w:ascii="Times New Roman" w:hAnsi="Times New Roman" w:cs="Times New Roman"/>
              </w:rPr>
              <w:t>HPO</w:t>
            </w:r>
            <w:r>
              <w:rPr>
                <w:rFonts w:hint="default" w:ascii="Times New Roman" w:hAnsi="Times New Roman" w:cs="Times New Roman"/>
                <w:vertAlign w:val="subscript"/>
              </w:rPr>
              <w:t>4</w:t>
            </w:r>
          </w:p>
        </w:tc>
        <w:tc>
          <w:tcPr>
            <w:tcW w:w="2351" w:type="dxa"/>
            <w:tcBorders>
              <w:top w:val="nil"/>
              <w:left w:val="nil"/>
              <w:bottom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Borders>
              <w:top w:val="nil"/>
              <w:left w:val="nil"/>
              <w:right w:val="nil"/>
            </w:tcBorders>
          </w:tcPr>
          <w:p>
            <w:pPr>
              <w:rPr>
                <w:rFonts w:hint="default" w:ascii="Times New Roman" w:hAnsi="Times New Roman" w:eastAsia="宋体" w:cs="Times New Roman"/>
                <w:spacing w:val="6"/>
                <w:kern w:val="0"/>
                <w:szCs w:val="21"/>
              </w:rPr>
            </w:pPr>
            <w:r>
              <w:rPr>
                <w:rFonts w:hint="default" w:ascii="Times New Roman" w:hAnsi="Times New Roman" w:eastAsia="宋体" w:cs="Times New Roman"/>
                <w:spacing w:val="6"/>
                <w:kern w:val="0"/>
                <w:szCs w:val="21"/>
              </w:rPr>
              <w:t xml:space="preserve">Sodium acetate </w:t>
            </w:r>
          </w:p>
        </w:tc>
        <w:tc>
          <w:tcPr>
            <w:tcW w:w="2351" w:type="dxa"/>
            <w:tcBorders>
              <w:top w:val="nil"/>
              <w:left w:val="nil"/>
              <w:right w:val="nil"/>
            </w:tcBorders>
          </w:tcPr>
          <w:p>
            <w:pPr>
              <w:rPr>
                <w:rFonts w:hint="default" w:ascii="Times New Roman" w:hAnsi="Times New Roman" w:eastAsia="宋体" w:cs="Times New Roman"/>
                <w:spacing w:val="6"/>
                <w:kern w:val="0"/>
                <w:szCs w:val="21"/>
              </w:rPr>
            </w:pPr>
            <w:r>
              <w:rPr>
                <w:rFonts w:hint="default" w:ascii="Times New Roman" w:hAnsi="Times New Roman" w:cs="Times New Roman"/>
              </w:rPr>
              <w:t>0.09</w:t>
            </w:r>
          </w:p>
        </w:tc>
      </w:tr>
    </w:tbl>
    <w:p>
      <w:pPr>
        <w:widowControl/>
        <w:jc w:val="left"/>
        <w:rPr>
          <w:rFonts w:hint="default" w:ascii="Times New Roman" w:hAnsi="Times New Roman" w:cs="Times New Roman"/>
          <w:szCs w:val="21"/>
        </w:rPr>
      </w:pPr>
      <w:r>
        <w:rPr>
          <w:rFonts w:hint="default" w:ascii="Times New Roman" w:hAnsi="Times New Roman" w:cs="Times New Roman"/>
          <w:szCs w:val="21"/>
        </w:rPr>
        <w:br w:type="page"/>
      </w:r>
    </w:p>
    <w:p>
      <w:pPr>
        <w:jc w:val="center"/>
        <w:rPr>
          <w:rFonts w:hint="default" w:ascii="Times New Roman" w:hAnsi="Times New Roman" w:cs="Times New Roman"/>
        </w:rPr>
      </w:pPr>
      <w:r>
        <w:rPr>
          <w:rFonts w:hint="default" w:ascii="Times New Roman" w:hAnsi="Times New Roman" w:cs="Times New Roman"/>
          <w:b/>
          <w:bCs/>
          <w:szCs w:val="21"/>
        </w:rPr>
        <w:t>Table S4.</w:t>
      </w:r>
      <w:r>
        <w:rPr>
          <w:rFonts w:hint="default" w:ascii="Times New Roman" w:hAnsi="Times New Roman" w:cs="Times New Roman"/>
          <w:szCs w:val="21"/>
        </w:rPr>
        <w:t xml:space="preserve"> The semi-quantitative analysis results of CGW organic matters ingredients.</w:t>
      </w:r>
    </w:p>
    <w:tbl>
      <w:tblPr>
        <w:tblStyle w:val="8"/>
        <w:tblW w:w="5093" w:type="pct"/>
        <w:tblInd w:w="87"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5"/>
        <w:gridCol w:w="4615"/>
        <w:gridCol w:w="786"/>
        <w:gridCol w:w="599"/>
        <w:gridCol w:w="1096"/>
      </w:tblGrid>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12" w:type="pct"/>
            <w:tcBorders>
              <w:top w:val="single" w:color="auto" w:sz="4" w:space="0"/>
              <w:left w:val="nil"/>
              <w:bottom w:val="single" w:color="auto" w:sz="4" w:space="0"/>
              <w:right w:val="nil"/>
            </w:tcBorders>
          </w:tcPr>
          <w:p>
            <w:pPr>
              <w:pStyle w:val="18"/>
              <w:spacing w:line="240" w:lineRule="auto"/>
              <w:jc w:val="both"/>
              <w:rPr>
                <w:rFonts w:hint="default" w:ascii="Times New Roman" w:hAnsi="Times New Roman" w:cs="Times New Roman"/>
                <w:b/>
                <w:bCs w:val="0"/>
                <w:sz w:val="21"/>
                <w:szCs w:val="21"/>
              </w:rPr>
            </w:pPr>
            <w:r>
              <w:rPr>
                <w:rFonts w:hint="default" w:ascii="Times New Roman" w:hAnsi="Times New Roman" w:cs="Times New Roman"/>
                <w:sz w:val="21"/>
                <w:szCs w:val="21"/>
              </w:rPr>
              <w:t>Organic species</w:t>
            </w:r>
          </w:p>
        </w:tc>
        <w:tc>
          <w:tcPr>
            <w:tcW w:w="2656" w:type="pct"/>
            <w:tcBorders>
              <w:top w:val="single" w:color="auto" w:sz="4" w:space="0"/>
              <w:left w:val="nil"/>
              <w:bottom w:val="single" w:color="auto" w:sz="4" w:space="0"/>
              <w:right w:val="nil"/>
            </w:tcBorders>
          </w:tcPr>
          <w:p>
            <w:pPr>
              <w:pStyle w:val="18"/>
              <w:spacing w:line="240" w:lineRule="auto"/>
              <w:jc w:val="both"/>
              <w:rPr>
                <w:rFonts w:hint="default" w:ascii="Times New Roman" w:hAnsi="Times New Roman" w:cs="Times New Roman"/>
                <w:b/>
                <w:bCs w:val="0"/>
                <w:sz w:val="21"/>
                <w:szCs w:val="21"/>
              </w:rPr>
            </w:pPr>
            <w:r>
              <w:rPr>
                <w:rFonts w:hint="default" w:ascii="Times New Roman" w:hAnsi="Times New Roman" w:cs="Times New Roman"/>
                <w:sz w:val="21"/>
                <w:szCs w:val="21"/>
              </w:rPr>
              <w:t>Organic compounds</w:t>
            </w:r>
          </w:p>
        </w:tc>
        <w:tc>
          <w:tcPr>
            <w:tcW w:w="453" w:type="pct"/>
            <w:tcBorders>
              <w:top w:val="single" w:color="auto" w:sz="4" w:space="0"/>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IN</w:t>
            </w:r>
          </w:p>
        </w:tc>
        <w:tc>
          <w:tcPr>
            <w:tcW w:w="345" w:type="pct"/>
            <w:tcBorders>
              <w:top w:val="single" w:color="auto" w:sz="4" w:space="0"/>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HA</w:t>
            </w:r>
          </w:p>
        </w:tc>
        <w:tc>
          <w:tcPr>
            <w:tcW w:w="631" w:type="pct"/>
            <w:tcBorders>
              <w:top w:val="single" w:color="auto" w:sz="4" w:space="0"/>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MAHA-2</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2" w:type="pct"/>
            <w:vMerge w:val="restart"/>
            <w:tcBorders>
              <w:top w:val="single" w:color="auto" w:sz="4" w:space="0"/>
              <w:left w:val="nil"/>
              <w:right w:val="nil"/>
            </w:tcBorders>
            <w:vAlign w:val="center"/>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Phenols</w:t>
            </w:r>
          </w:p>
        </w:tc>
        <w:tc>
          <w:tcPr>
            <w:tcW w:w="2656" w:type="pct"/>
            <w:tcBorders>
              <w:top w:val="single" w:color="auto" w:sz="4"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Phenol</w:t>
            </w:r>
          </w:p>
        </w:tc>
        <w:tc>
          <w:tcPr>
            <w:tcW w:w="453" w:type="pct"/>
            <w:tcBorders>
              <w:top w:val="single" w:color="auto" w:sz="4"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28.74</w:t>
            </w:r>
          </w:p>
        </w:tc>
        <w:tc>
          <w:tcPr>
            <w:tcW w:w="345" w:type="pct"/>
            <w:tcBorders>
              <w:top w:val="single" w:color="auto" w:sz="4"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8.24</w:t>
            </w:r>
          </w:p>
        </w:tc>
        <w:tc>
          <w:tcPr>
            <w:tcW w:w="631" w:type="pct"/>
            <w:tcBorders>
              <w:top w:val="single" w:color="auto" w:sz="4"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5.32</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2-Methyl-phenol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3.82</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2.56</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1.98</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4-Methyl-phenol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14.58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9.31</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3.98</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2,4-Dimethylphenol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1.32</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0.56</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ND</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3,5-Dimethylphenol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2.87</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3.08</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1.61</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3,4-Dimethylphenol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0.93</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0.94</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0.52</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Catechol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3.78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1.23</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0.78</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4-Isopropylphenol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1.15</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0.23</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ND</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2-Ethyl-5-methylphenol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0.34</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0.19</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2,4-Di-tert-butylphenol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0.63</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1.15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3-Amino-o-cresol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0.82</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0.11</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ND</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2,2'-Methylenebis-(4-methyl-6-tert-butylphenol)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1.16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4.04</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5.24</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1-Ethyl-piperidine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0.35</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0.58</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0.14</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3-Methylquinolin-2-one</w:t>
            </w:r>
          </w:p>
        </w:tc>
        <w:tc>
          <w:tcPr>
            <w:tcW w:w="453"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0.28</w:t>
            </w:r>
          </w:p>
        </w:tc>
        <w:tc>
          <w:tcPr>
            <w:tcW w:w="345"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0.11</w:t>
            </w:r>
          </w:p>
        </w:tc>
        <w:tc>
          <w:tcPr>
            <w:tcW w:w="631"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0.44</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restart"/>
            <w:tcBorders>
              <w:top w:val="single" w:color="auto" w:sz="2" w:space="0"/>
              <w:left w:val="nil"/>
              <w:right w:val="nil"/>
            </w:tcBorders>
            <w:vAlign w:val="center"/>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Heterocyclic</w:t>
            </w:r>
          </w:p>
        </w:tc>
        <w:tc>
          <w:tcPr>
            <w:tcW w:w="2656"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1-Hydroxyisoquinoline</w:t>
            </w:r>
          </w:p>
        </w:tc>
        <w:tc>
          <w:tcPr>
            <w:tcW w:w="453"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1.49</w:t>
            </w:r>
          </w:p>
        </w:tc>
        <w:tc>
          <w:tcPr>
            <w:tcW w:w="345"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6.92</w:t>
            </w:r>
          </w:p>
        </w:tc>
        <w:tc>
          <w:tcPr>
            <w:tcW w:w="631"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5.21</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2-Methyl-3-phenyl-1H-indole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10.69</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9.28</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1.92</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5-Methyl-2-phenyl-1H-indole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2.55</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2.8</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7-Methyl-1H-indazole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0.15</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0.28</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2-Methyl-3-mercaptofuran</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1.02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1.36</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N,N-Dimethyloctanamide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0.27</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0.92</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1,3-Diazaspiro[4,5]decane-2,4-dione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0.82</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3.16</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5.5</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1-Benzylbenzimidazole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0.91</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0.67</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0.71</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6-Methyl-2-(3-pyridyl)-1H-indole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0.21</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0.13</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5-Isobutyl-5-methylhydantoin</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1.8</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2.82</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Isoindolin-1-one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0.56</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3,5,5-Trimethyl-2(5H)-furanone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0.11</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0.45</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0.13</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4,4-Dimethyl-5-methylene-2-pyrrolidinone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0.87</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5,5-Dimethyl-2,4-imidazolidinedione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0.71</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i/>
                <w:iCs/>
                <w:sz w:val="21"/>
                <w:szCs w:val="21"/>
              </w:rPr>
              <w:t>n</w:t>
            </w:r>
            <w:r>
              <w:rPr>
                <w:rFonts w:hint="default" w:ascii="Times New Roman" w:hAnsi="Times New Roman" w:cs="Times New Roman"/>
                <w:sz w:val="21"/>
                <w:szCs w:val="21"/>
              </w:rPr>
              <w:t>-Octadecyrrolidine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1.08</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0.87</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4-Phenylamino-piperidine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0.33</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0.38</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(3,2-f)Dihydrobenzofuran</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0.36</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0.69</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2-Acetyl-5-(5-methylfurfuryl)furan</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0.42</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0.32</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N-Methyl-1H-benzo[D]imidazol-2-amine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0.15</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0.21</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0.25</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4-Methoxy-2-(4-fluorophenyl)pyrimidine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0.43</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1.26</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1.78</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5,6-Dihydro-5-methyluracil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0.05</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0.52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1.07</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2-Acetyl-5-(5-methylfurfuryl)furan</w:t>
            </w:r>
          </w:p>
        </w:tc>
        <w:tc>
          <w:tcPr>
            <w:tcW w:w="453"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0.42</w:t>
            </w:r>
          </w:p>
        </w:tc>
        <w:tc>
          <w:tcPr>
            <w:tcW w:w="345"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0.61</w:t>
            </w:r>
          </w:p>
        </w:tc>
        <w:tc>
          <w:tcPr>
            <w:tcW w:w="631" w:type="pct"/>
            <w:tcBorders>
              <w:top w:val="nil"/>
              <w:left w:val="nil"/>
              <w:bottom w:val="single" w:color="auto" w:sz="2"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1.23</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restart"/>
            <w:tcBorders>
              <w:top w:val="single" w:color="auto" w:sz="4" w:space="0"/>
              <w:left w:val="nil"/>
              <w:bottom w:val="nil"/>
              <w:right w:val="nil"/>
            </w:tcBorders>
            <w:vAlign w:val="center"/>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Long-chain alkanes</w:t>
            </w:r>
          </w:p>
        </w:tc>
        <w:tc>
          <w:tcPr>
            <w:tcW w:w="2656" w:type="pct"/>
            <w:tcBorders>
              <w:top w:val="single" w:color="auto" w:sz="4"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Hexadecane</w:t>
            </w:r>
          </w:p>
        </w:tc>
        <w:tc>
          <w:tcPr>
            <w:tcW w:w="453"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0.07</w:t>
            </w:r>
          </w:p>
        </w:tc>
        <w:tc>
          <w:tcPr>
            <w:tcW w:w="345"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0.16</w:t>
            </w:r>
          </w:p>
        </w:tc>
        <w:tc>
          <w:tcPr>
            <w:tcW w:w="631" w:type="pct"/>
            <w:tcBorders>
              <w:top w:val="single" w:color="auto" w:sz="2" w:space="0"/>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0.42</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top w:val="nil"/>
              <w:left w:val="nil"/>
              <w:bottom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Heptazane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1.49</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1.28</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top w:val="nil"/>
              <w:left w:val="nil"/>
              <w:bottom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Octadecane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0.36</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1.87</w:t>
            </w:r>
          </w:p>
        </w:tc>
      </w:tr>
      <w:tr>
        <w:tblPrEx>
          <w:tblBorders>
            <w:top w:val="single" w:color="auto" w:sz="12"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top w:val="nil"/>
              <w:left w:val="nil"/>
              <w:bottom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i/>
                <w:iCs/>
                <w:sz w:val="21"/>
                <w:szCs w:val="21"/>
              </w:rPr>
              <w:t>n</w:t>
            </w:r>
            <w:r>
              <w:rPr>
                <w:rFonts w:hint="default" w:ascii="Times New Roman" w:hAnsi="Times New Roman" w:cs="Times New Roman"/>
                <w:sz w:val="21"/>
                <w:szCs w:val="21"/>
              </w:rPr>
              <w:t>-eicosane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ND</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0.31</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top w:val="nil"/>
              <w:left w:val="nil"/>
              <w:bottom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Oleic acid amide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0.92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1.82</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top w:val="nil"/>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1-Nineteen-ene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ND</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Bis(4-hydroxy-3,5-dimethylphenyl)methane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0.67</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i/>
                <w:iCs/>
                <w:sz w:val="21"/>
                <w:szCs w:val="21"/>
              </w:rPr>
              <w:t>n</w:t>
            </w:r>
            <w:r>
              <w:rPr>
                <w:rFonts w:hint="default" w:ascii="Times New Roman" w:hAnsi="Times New Roman" w:cs="Times New Roman"/>
                <w:sz w:val="21"/>
                <w:szCs w:val="21"/>
              </w:rPr>
              <w:t>-nineteenthane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0.16</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0.59</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1.55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trans-1,2-Diphenylcyclobutane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2.38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3.09</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4.33</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5-Methyl-2-undecene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0.23</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1.35</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1.67</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2-Methyldodecane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0.09</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1.89</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1.61</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Bis(4-hydroxy-3,5-dimethylphenyl)methane</w:t>
            </w:r>
          </w:p>
        </w:tc>
        <w:tc>
          <w:tcPr>
            <w:tcW w:w="453"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0.11</w:t>
            </w:r>
          </w:p>
        </w:tc>
        <w:tc>
          <w:tcPr>
            <w:tcW w:w="345"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0.67</w:t>
            </w:r>
          </w:p>
        </w:tc>
        <w:tc>
          <w:tcPr>
            <w:tcW w:w="631"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2.85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restart"/>
            <w:tcBorders>
              <w:left w:val="nil"/>
              <w:right w:val="nil"/>
            </w:tcBorders>
            <w:vAlign w:val="center"/>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Polycyclic aromatic hydrocarbons</w:t>
            </w:r>
          </w:p>
        </w:tc>
        <w:tc>
          <w:tcPr>
            <w:tcW w:w="2656" w:type="pct"/>
            <w:tcBorders>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2-Isopropylthioanthrone</w:t>
            </w:r>
          </w:p>
        </w:tc>
        <w:tc>
          <w:tcPr>
            <w:tcW w:w="453" w:type="pct"/>
            <w:tcBorders>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0.16</w:t>
            </w:r>
          </w:p>
        </w:tc>
        <w:tc>
          <w:tcPr>
            <w:tcW w:w="345" w:type="pct"/>
            <w:tcBorders>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0.85</w:t>
            </w:r>
          </w:p>
        </w:tc>
        <w:tc>
          <w:tcPr>
            <w:tcW w:w="631" w:type="pct"/>
            <w:tcBorders>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2.25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1,2,3,4-Tetrahydro-1-naphthol</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0.38</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1.67</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2.64</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9-Methoxy-anthracene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0.12</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0.68</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1.35</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Phenanthrene</w:t>
            </w:r>
          </w:p>
        </w:tc>
        <w:tc>
          <w:tcPr>
            <w:tcW w:w="453"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0.4</w:t>
            </w:r>
          </w:p>
        </w:tc>
        <w:tc>
          <w:tcPr>
            <w:tcW w:w="345"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0.82</w:t>
            </w:r>
          </w:p>
        </w:tc>
        <w:tc>
          <w:tcPr>
            <w:tcW w:w="631" w:type="pct"/>
            <w:tcBorders>
              <w:top w:val="nil"/>
              <w:left w:val="nil"/>
              <w:bottom w:val="nil"/>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1.28</w:t>
            </w:r>
          </w:p>
        </w:tc>
      </w:tr>
      <w:tr>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 w:type="pct"/>
            <w:vMerge w:val="continue"/>
            <w:tcBorders>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p>
        </w:tc>
        <w:tc>
          <w:tcPr>
            <w:tcW w:w="2656"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1-propene,3-(2-cyclopentenyl)-2-methyl-1,1-biphenyl</w:t>
            </w:r>
          </w:p>
        </w:tc>
        <w:tc>
          <w:tcPr>
            <w:tcW w:w="453"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2.05</w:t>
            </w:r>
          </w:p>
        </w:tc>
        <w:tc>
          <w:tcPr>
            <w:tcW w:w="345"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1.86</w:t>
            </w:r>
          </w:p>
        </w:tc>
        <w:tc>
          <w:tcPr>
            <w:tcW w:w="631" w:type="pct"/>
            <w:tcBorders>
              <w:top w:val="nil"/>
              <w:left w:val="nil"/>
              <w:bottom w:val="single" w:color="auto" w:sz="4" w:space="0"/>
              <w:right w:val="nil"/>
            </w:tcBorders>
          </w:tcPr>
          <w:p>
            <w:pPr>
              <w:pStyle w:val="18"/>
              <w:spacing w:line="240" w:lineRule="auto"/>
              <w:jc w:val="both"/>
              <w:rPr>
                <w:rFonts w:hint="default" w:ascii="Times New Roman" w:hAnsi="Times New Roman" w:cs="Times New Roman"/>
                <w:sz w:val="21"/>
                <w:szCs w:val="21"/>
              </w:rPr>
            </w:pPr>
            <w:r>
              <w:rPr>
                <w:rFonts w:hint="default" w:ascii="Times New Roman" w:hAnsi="Times New Roman" w:cs="Times New Roman"/>
                <w:sz w:val="21"/>
                <w:szCs w:val="21"/>
              </w:rPr>
              <w:t>1.83</w:t>
            </w:r>
          </w:p>
        </w:tc>
      </w:tr>
    </w:tbl>
    <w:p>
      <w:pPr>
        <w:rPr>
          <w:rFonts w:hint="default" w:ascii="Times New Roman" w:hAnsi="Times New Roman" w:cs="Times New Roman"/>
          <w:szCs w:val="21"/>
        </w:rPr>
      </w:pPr>
      <w:r>
        <w:rPr>
          <w:rFonts w:hint="default" w:ascii="Times New Roman" w:hAnsi="Times New Roman" w:cs="Times New Roman"/>
          <w:vertAlign w:val="superscript"/>
        </w:rPr>
        <w:t>*</w:t>
      </w:r>
      <w:r>
        <w:rPr>
          <w:rFonts w:hint="default" w:ascii="Times New Roman" w:hAnsi="Times New Roman" w:cs="Times New Roman"/>
        </w:rPr>
        <w:t>The data in the table is the percentage (%) of the relevant compound area to the total peak area. ND: not detected.</w:t>
      </w:r>
    </w:p>
    <w:p>
      <w:pPr>
        <w:rPr>
          <w:rFonts w:hint="default" w:ascii="Times New Roman" w:hAnsi="Times New Roman" w:eastAsia="宋体" w:cs="Times New Roman"/>
          <w:b/>
          <w:bCs/>
          <w:kern w:val="0"/>
          <w:szCs w:val="21"/>
        </w:rPr>
      </w:pPr>
    </w:p>
    <w:p>
      <w:pPr>
        <w:widowControl/>
        <w:jc w:val="left"/>
        <w:rPr>
          <w:rFonts w:hint="default" w:ascii="Times New Roman" w:hAnsi="Times New Roman" w:eastAsia="宋体" w:cs="Times New Roman"/>
          <w:b/>
          <w:bCs/>
          <w:kern w:val="0"/>
          <w:szCs w:val="21"/>
        </w:rPr>
      </w:pPr>
      <w:r>
        <w:rPr>
          <w:rFonts w:hint="default" w:ascii="Times New Roman" w:hAnsi="Times New Roman" w:eastAsia="宋体" w:cs="Times New Roman"/>
          <w:b/>
          <w:bCs/>
          <w:kern w:val="0"/>
          <w:szCs w:val="21"/>
        </w:rPr>
        <w:br w:type="page"/>
      </w:r>
    </w:p>
    <w:p>
      <w:pPr>
        <w:spacing w:line="400" w:lineRule="exact"/>
        <w:ind w:firstLine="422" w:firstLineChars="200"/>
        <w:jc w:val="center"/>
        <w:rPr>
          <w:rFonts w:hint="default" w:ascii="Times New Roman" w:hAnsi="Times New Roman" w:eastAsia="宋体" w:cs="Times New Roman"/>
          <w:szCs w:val="21"/>
        </w:rPr>
      </w:pPr>
      <w:r>
        <w:rPr>
          <w:rFonts w:hint="default" w:ascii="Times New Roman" w:hAnsi="Times New Roman" w:eastAsia="宋体" w:cs="Times New Roman"/>
          <w:b/>
          <w:bCs/>
          <w:kern w:val="0"/>
          <w:szCs w:val="21"/>
        </w:rPr>
        <w:t>Table S5</w:t>
      </w:r>
      <w:r>
        <w:rPr>
          <w:rFonts w:hint="default" w:ascii="Times New Roman" w:hAnsi="Times New Roman" w:eastAsia="宋体" w:cs="Times New Roman"/>
          <w:kern w:val="0"/>
          <w:szCs w:val="21"/>
        </w:rPr>
        <w:t>.</w:t>
      </w:r>
      <w:r>
        <w:rPr>
          <w:rFonts w:hint="default" w:ascii="Times New Roman" w:hAnsi="Times New Roman" w:eastAsia="宋体" w:cs="Times New Roman"/>
          <w:szCs w:val="21"/>
        </w:rPr>
        <w:t xml:space="preserve"> Community richness and diversity indices of samples in different reactors.</w:t>
      </w:r>
    </w:p>
    <w:tbl>
      <w:tblPr>
        <w:tblStyle w:val="8"/>
        <w:tblW w:w="0" w:type="auto"/>
        <w:jc w:val="center"/>
        <w:tblBorders>
          <w:top w:val="single" w:color="auto" w:sz="4" w:space="0"/>
          <w:left w:val="none" w:color="auto" w:sz="0" w:space="0"/>
          <w:bottom w:val="single" w:color="auto" w:sz="4" w:space="0"/>
          <w:right w:val="none" w:color="auto" w:sz="0" w:space="0"/>
          <w:insideH w:val="single" w:color="999999" w:sz="4" w:space="0"/>
          <w:insideV w:val="single" w:color="999999" w:sz="4" w:space="0"/>
        </w:tblBorders>
        <w:tblLayout w:type="fixed"/>
        <w:tblCellMar>
          <w:top w:w="0" w:type="dxa"/>
          <w:left w:w="108" w:type="dxa"/>
          <w:bottom w:w="0" w:type="dxa"/>
          <w:right w:w="108" w:type="dxa"/>
        </w:tblCellMar>
      </w:tblPr>
      <w:tblGrid>
        <w:gridCol w:w="1266"/>
        <w:gridCol w:w="1031"/>
        <w:gridCol w:w="1018"/>
        <w:gridCol w:w="1050"/>
        <w:gridCol w:w="1060"/>
        <w:gridCol w:w="1078"/>
        <w:gridCol w:w="1200"/>
      </w:tblGrid>
      <w:tr>
        <w:tblPrEx>
          <w:tblBorders>
            <w:top w:val="single" w:color="auto" w:sz="4" w:space="0"/>
            <w:left w:val="none" w:color="auto" w:sz="0" w:space="0"/>
            <w:bottom w:val="single" w:color="auto" w:sz="4" w:space="0"/>
            <w:right w:val="none" w:color="auto" w:sz="0" w:space="0"/>
            <w:insideH w:val="single" w:color="999999" w:sz="4" w:space="0"/>
            <w:insideV w:val="single" w:color="999999" w:sz="4" w:space="0"/>
          </w:tblBorders>
          <w:tblCellMar>
            <w:top w:w="0" w:type="dxa"/>
            <w:left w:w="108" w:type="dxa"/>
            <w:bottom w:w="0" w:type="dxa"/>
            <w:right w:w="108" w:type="dxa"/>
          </w:tblCellMar>
        </w:tblPrEx>
        <w:trPr>
          <w:trHeight w:val="348" w:hRule="atLeast"/>
          <w:jc w:val="center"/>
        </w:trPr>
        <w:tc>
          <w:tcPr>
            <w:tcW w:w="1266"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Sample</w:t>
            </w:r>
          </w:p>
        </w:tc>
        <w:tc>
          <w:tcPr>
            <w:tcW w:w="1031"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OTUs</w:t>
            </w:r>
          </w:p>
        </w:tc>
        <w:tc>
          <w:tcPr>
            <w:tcW w:w="1018"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Shannon</w:t>
            </w:r>
          </w:p>
        </w:tc>
        <w:tc>
          <w:tcPr>
            <w:tcW w:w="1050"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Simpson</w:t>
            </w:r>
          </w:p>
        </w:tc>
        <w:tc>
          <w:tcPr>
            <w:tcW w:w="1060"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ACE</w:t>
            </w:r>
          </w:p>
        </w:tc>
        <w:tc>
          <w:tcPr>
            <w:tcW w:w="1078"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Chao</w:t>
            </w:r>
          </w:p>
        </w:tc>
        <w:tc>
          <w:tcPr>
            <w:tcW w:w="1200" w:type="dxa"/>
            <w:tcBorders>
              <w:top w:val="single" w:color="auto" w:sz="4" w:space="0"/>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Coverage</w:t>
            </w:r>
          </w:p>
        </w:tc>
      </w:tr>
      <w:tr>
        <w:tblPrEx>
          <w:tblBorders>
            <w:top w:val="single" w:color="auto" w:sz="4" w:space="0"/>
            <w:left w:val="none" w:color="auto" w:sz="0" w:space="0"/>
            <w:bottom w:val="single" w:color="auto" w:sz="4" w:space="0"/>
            <w:right w:val="none" w:color="auto" w:sz="0" w:space="0"/>
            <w:insideH w:val="single" w:color="999999" w:sz="4" w:space="0"/>
            <w:insideV w:val="single" w:color="999999" w:sz="4" w:space="0"/>
          </w:tblBorders>
          <w:tblCellMar>
            <w:top w:w="0" w:type="dxa"/>
            <w:left w:w="108" w:type="dxa"/>
            <w:bottom w:w="0" w:type="dxa"/>
            <w:right w:w="108" w:type="dxa"/>
          </w:tblCellMar>
        </w:tblPrEx>
        <w:trPr>
          <w:jc w:val="center"/>
        </w:trPr>
        <w:tc>
          <w:tcPr>
            <w:tcW w:w="1266" w:type="dxa"/>
            <w:tcBorders>
              <w:top w:val="single" w:color="auto" w:sz="4" w:space="0"/>
              <w:left w:val="nil"/>
              <w:bottom w:val="nil"/>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HA</w:t>
            </w:r>
          </w:p>
        </w:tc>
        <w:tc>
          <w:tcPr>
            <w:tcW w:w="1031" w:type="dxa"/>
            <w:tcBorders>
              <w:top w:val="single" w:color="auto" w:sz="4" w:space="0"/>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764</w:t>
            </w:r>
          </w:p>
        </w:tc>
        <w:tc>
          <w:tcPr>
            <w:tcW w:w="1018" w:type="dxa"/>
            <w:tcBorders>
              <w:top w:val="single" w:color="auto" w:sz="4" w:space="0"/>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4.12</w:t>
            </w:r>
          </w:p>
        </w:tc>
        <w:tc>
          <w:tcPr>
            <w:tcW w:w="1050" w:type="dxa"/>
            <w:tcBorders>
              <w:top w:val="single" w:color="auto" w:sz="4" w:space="0"/>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0.0516</w:t>
            </w:r>
          </w:p>
        </w:tc>
        <w:tc>
          <w:tcPr>
            <w:tcW w:w="1060" w:type="dxa"/>
            <w:tcBorders>
              <w:top w:val="single" w:color="auto" w:sz="4" w:space="0"/>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966.6</w:t>
            </w:r>
          </w:p>
        </w:tc>
        <w:tc>
          <w:tcPr>
            <w:tcW w:w="1078" w:type="dxa"/>
            <w:tcBorders>
              <w:top w:val="single" w:color="auto" w:sz="4" w:space="0"/>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993.7</w:t>
            </w:r>
          </w:p>
        </w:tc>
        <w:tc>
          <w:tcPr>
            <w:tcW w:w="1200" w:type="dxa"/>
            <w:tcBorders>
              <w:top w:val="single" w:color="auto" w:sz="4" w:space="0"/>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0.9957</w:t>
            </w:r>
          </w:p>
        </w:tc>
      </w:tr>
      <w:tr>
        <w:tblPrEx>
          <w:tblBorders>
            <w:top w:val="single" w:color="auto" w:sz="4" w:space="0"/>
            <w:left w:val="none" w:color="auto" w:sz="0" w:space="0"/>
            <w:bottom w:val="single" w:color="auto" w:sz="4" w:space="0"/>
            <w:right w:val="none" w:color="auto" w:sz="0" w:space="0"/>
            <w:insideH w:val="single" w:color="999999" w:sz="4" w:space="0"/>
            <w:insideV w:val="single" w:color="999999" w:sz="4" w:space="0"/>
          </w:tblBorders>
          <w:tblCellMar>
            <w:top w:w="0" w:type="dxa"/>
            <w:left w:w="108" w:type="dxa"/>
            <w:bottom w:w="0" w:type="dxa"/>
            <w:right w:w="108" w:type="dxa"/>
          </w:tblCellMar>
        </w:tblPrEx>
        <w:trPr>
          <w:jc w:val="center"/>
        </w:trPr>
        <w:tc>
          <w:tcPr>
            <w:tcW w:w="1266" w:type="dxa"/>
            <w:tcBorders>
              <w:top w:val="nil"/>
              <w:left w:val="nil"/>
              <w:bottom w:val="nil"/>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MAHA-1</w:t>
            </w:r>
          </w:p>
        </w:tc>
        <w:tc>
          <w:tcPr>
            <w:tcW w:w="1031" w:type="dxa"/>
            <w:tcBorders>
              <w:top w:val="nil"/>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940</w:t>
            </w:r>
          </w:p>
        </w:tc>
        <w:tc>
          <w:tcPr>
            <w:tcW w:w="1018" w:type="dxa"/>
            <w:tcBorders>
              <w:top w:val="nil"/>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4.63</w:t>
            </w:r>
          </w:p>
        </w:tc>
        <w:tc>
          <w:tcPr>
            <w:tcW w:w="1050" w:type="dxa"/>
            <w:tcBorders>
              <w:top w:val="nil"/>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0.0291</w:t>
            </w:r>
          </w:p>
        </w:tc>
        <w:tc>
          <w:tcPr>
            <w:tcW w:w="1060" w:type="dxa"/>
            <w:tcBorders>
              <w:top w:val="nil"/>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1149.2</w:t>
            </w:r>
          </w:p>
        </w:tc>
        <w:tc>
          <w:tcPr>
            <w:tcW w:w="1078" w:type="dxa"/>
            <w:tcBorders>
              <w:top w:val="nil"/>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1136.8</w:t>
            </w:r>
          </w:p>
        </w:tc>
        <w:tc>
          <w:tcPr>
            <w:tcW w:w="1200" w:type="dxa"/>
            <w:tcBorders>
              <w:top w:val="nil"/>
              <w:left w:val="nil"/>
              <w:bottom w:val="nil"/>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0.9956</w:t>
            </w:r>
          </w:p>
        </w:tc>
      </w:tr>
      <w:tr>
        <w:tblPrEx>
          <w:tblBorders>
            <w:top w:val="single" w:color="auto" w:sz="4" w:space="0"/>
            <w:left w:val="none" w:color="auto" w:sz="0" w:space="0"/>
            <w:bottom w:val="single" w:color="auto" w:sz="4" w:space="0"/>
            <w:right w:val="none" w:color="auto" w:sz="0" w:space="0"/>
            <w:insideH w:val="single" w:color="999999" w:sz="4" w:space="0"/>
            <w:insideV w:val="single" w:color="999999" w:sz="4" w:space="0"/>
          </w:tblBorders>
          <w:tblCellMar>
            <w:top w:w="0" w:type="dxa"/>
            <w:left w:w="108" w:type="dxa"/>
            <w:bottom w:w="0" w:type="dxa"/>
            <w:right w:w="108" w:type="dxa"/>
          </w:tblCellMar>
        </w:tblPrEx>
        <w:trPr>
          <w:jc w:val="center"/>
        </w:trPr>
        <w:tc>
          <w:tcPr>
            <w:tcW w:w="1266" w:type="dxa"/>
            <w:tcBorders>
              <w:top w:val="nil"/>
              <w:left w:val="nil"/>
              <w:bottom w:val="single" w:color="auto" w:sz="4" w:space="0"/>
              <w:right w:val="nil"/>
            </w:tcBorders>
            <w:vAlign w:val="center"/>
          </w:tcPr>
          <w:p>
            <w:pPr>
              <w:pStyle w:val="18"/>
              <w:snapToGrid w:val="0"/>
              <w:spacing w:before="60" w:after="60" w:line="240" w:lineRule="auto"/>
              <w:jc w:val="both"/>
              <w:rPr>
                <w:rFonts w:hint="default" w:ascii="Times New Roman" w:hAnsi="Times New Roman" w:cs="Times New Roman"/>
                <w:bCs w:val="0"/>
              </w:rPr>
            </w:pPr>
            <w:r>
              <w:rPr>
                <w:rFonts w:hint="default" w:ascii="Times New Roman" w:hAnsi="Times New Roman" w:cs="Times New Roman"/>
                <w:bCs w:val="0"/>
              </w:rPr>
              <w:t>MAHA-2</w:t>
            </w:r>
          </w:p>
        </w:tc>
        <w:tc>
          <w:tcPr>
            <w:tcW w:w="1031" w:type="dxa"/>
            <w:tcBorders>
              <w:top w:val="nil"/>
              <w:left w:val="nil"/>
              <w:bottom w:val="single" w:color="auto" w:sz="4" w:space="0"/>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1029</w:t>
            </w:r>
          </w:p>
        </w:tc>
        <w:tc>
          <w:tcPr>
            <w:tcW w:w="1018" w:type="dxa"/>
            <w:tcBorders>
              <w:top w:val="nil"/>
              <w:left w:val="nil"/>
              <w:bottom w:val="single" w:color="auto" w:sz="4" w:space="0"/>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4.85</w:t>
            </w:r>
          </w:p>
        </w:tc>
        <w:tc>
          <w:tcPr>
            <w:tcW w:w="1050" w:type="dxa"/>
            <w:tcBorders>
              <w:top w:val="nil"/>
              <w:left w:val="nil"/>
              <w:bottom w:val="single" w:color="auto" w:sz="4" w:space="0"/>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0.0224</w:t>
            </w:r>
          </w:p>
        </w:tc>
        <w:tc>
          <w:tcPr>
            <w:tcW w:w="1060" w:type="dxa"/>
            <w:tcBorders>
              <w:top w:val="nil"/>
              <w:left w:val="nil"/>
              <w:bottom w:val="single" w:color="auto" w:sz="4" w:space="0"/>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1286.8</w:t>
            </w:r>
          </w:p>
        </w:tc>
        <w:tc>
          <w:tcPr>
            <w:tcW w:w="1078" w:type="dxa"/>
            <w:tcBorders>
              <w:top w:val="nil"/>
              <w:left w:val="nil"/>
              <w:bottom w:val="single" w:color="auto" w:sz="4" w:space="0"/>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1319.9</w:t>
            </w:r>
          </w:p>
        </w:tc>
        <w:tc>
          <w:tcPr>
            <w:tcW w:w="1200" w:type="dxa"/>
            <w:tcBorders>
              <w:top w:val="nil"/>
              <w:left w:val="nil"/>
              <w:bottom w:val="single" w:color="auto" w:sz="4" w:space="0"/>
              <w:right w:val="nil"/>
            </w:tcBorders>
            <w:vAlign w:val="center"/>
          </w:tcPr>
          <w:p>
            <w:pPr>
              <w:pStyle w:val="18"/>
              <w:snapToGrid w:val="0"/>
              <w:spacing w:line="240" w:lineRule="auto"/>
              <w:jc w:val="both"/>
              <w:rPr>
                <w:rFonts w:hint="default" w:ascii="Times New Roman" w:hAnsi="Times New Roman" w:cs="Times New Roman"/>
                <w:bCs w:val="0"/>
              </w:rPr>
            </w:pPr>
            <w:r>
              <w:rPr>
                <w:rFonts w:hint="default" w:ascii="Times New Roman" w:hAnsi="Times New Roman" w:cs="Times New Roman"/>
                <w:bCs w:val="0"/>
              </w:rPr>
              <w:t>0.9953</w:t>
            </w:r>
          </w:p>
        </w:tc>
      </w:tr>
    </w:tbl>
    <w:p>
      <w:pPr>
        <w:spacing w:line="360" w:lineRule="auto"/>
        <w:rPr>
          <w:rFonts w:hint="default" w:ascii="Times New Roman" w:hAnsi="Times New Roman" w:eastAsia="宋体" w:cs="Times New Roman"/>
          <w:szCs w:val="21"/>
        </w:rPr>
      </w:pPr>
    </w:p>
    <w:p>
      <w:pPr>
        <w:rPr>
          <w:rFonts w:hint="default" w:ascii="Times New Roman" w:hAnsi="Times New Roman" w:eastAsia="宋体" w:cs="Times New Roman"/>
          <w:b/>
          <w:bCs/>
          <w:kern w:val="0"/>
          <w:szCs w:val="21"/>
        </w:rPr>
      </w:pPr>
      <w:r>
        <w:rPr>
          <w:rFonts w:hint="default" w:ascii="Times New Roman" w:hAnsi="Times New Roman" w:eastAsia="宋体" w:cs="Times New Roman"/>
          <w:b/>
          <w:bCs/>
          <w:kern w:val="0"/>
          <w:szCs w:val="21"/>
        </w:rPr>
        <w:br w:type="page"/>
      </w:r>
    </w:p>
    <w:p>
      <w:pPr>
        <w:widowControl/>
        <w:adjustRightInd w:val="0"/>
        <w:jc w:val="center"/>
        <w:rPr>
          <w:rFonts w:hint="default" w:ascii="Times New Roman" w:hAnsi="Times New Roman" w:eastAsia="宋体" w:cs="Times New Roman"/>
          <w:szCs w:val="21"/>
        </w:rPr>
      </w:pPr>
      <w:r>
        <w:rPr>
          <w:rFonts w:hint="default" w:ascii="Times New Roman" w:hAnsi="Times New Roman" w:eastAsia="宋体" w:cs="Times New Roman"/>
          <w:b/>
          <w:bCs/>
          <w:kern w:val="0"/>
          <w:szCs w:val="21"/>
        </w:rPr>
        <w:t>Table S6</w:t>
      </w:r>
      <w:r>
        <w:rPr>
          <w:rFonts w:hint="default" w:ascii="Times New Roman" w:hAnsi="Times New Roman" w:eastAsia="宋体" w:cs="Times New Roman"/>
          <w:kern w:val="0"/>
          <w:szCs w:val="21"/>
        </w:rPr>
        <w:t>.</w:t>
      </w:r>
      <w:r>
        <w:rPr>
          <w:rFonts w:hint="default" w:ascii="Times New Roman" w:hAnsi="Times New Roman" w:eastAsia="宋体" w:cs="Times New Roman"/>
          <w:szCs w:val="21"/>
        </w:rPr>
        <w:t xml:space="preserve"> Correspondence between functional enzymes and genes related to phenol metabolism.</w:t>
      </w:r>
    </w:p>
    <w:tbl>
      <w:tblPr>
        <w:tblStyle w:val="9"/>
        <w:tblpPr w:leftFromText="180" w:rightFromText="180" w:vertAnchor="text" w:horzAnchor="page" w:tblpXSpec="center" w:tblpY="319"/>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6073"/>
        <w:gridCol w:w="12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single" w:color="auto" w:sz="4" w:space="0"/>
              <w:left w:val="nil"/>
              <w:bottom w:val="single" w:color="auto" w:sz="4" w:space="0"/>
              <w:right w:val="nil"/>
            </w:tcBorders>
            <w:vAlign w:val="center"/>
          </w:tcPr>
          <w:p>
            <w:pPr>
              <w:adjustRightInd w:val="0"/>
              <w:jc w:val="left"/>
              <w:rPr>
                <w:rFonts w:hint="default" w:ascii="Times New Roman" w:hAnsi="Times New Roman" w:eastAsia="宋体" w:cs="Times New Roman"/>
              </w:rPr>
            </w:pPr>
            <w:r>
              <w:rPr>
                <w:rFonts w:hint="default" w:ascii="Times New Roman" w:hAnsi="Times New Roman" w:eastAsia="宋体" w:cs="Times New Roman"/>
              </w:rPr>
              <w:t>Enzyme ID</w:t>
            </w:r>
          </w:p>
        </w:tc>
        <w:tc>
          <w:tcPr>
            <w:tcW w:w="6073" w:type="dxa"/>
            <w:tcBorders>
              <w:top w:val="single" w:color="auto" w:sz="4" w:space="0"/>
              <w:left w:val="nil"/>
              <w:bottom w:val="single" w:color="auto" w:sz="4" w:space="0"/>
              <w:right w:val="nil"/>
            </w:tcBorders>
            <w:vAlign w:val="center"/>
          </w:tcPr>
          <w:p>
            <w:pPr>
              <w:adjustRightInd w:val="0"/>
              <w:jc w:val="left"/>
              <w:rPr>
                <w:rFonts w:hint="default" w:ascii="Times New Roman" w:hAnsi="Times New Roman" w:eastAsia="宋体" w:cs="Times New Roman"/>
              </w:rPr>
            </w:pPr>
            <w:r>
              <w:rPr>
                <w:rFonts w:hint="default" w:ascii="Times New Roman" w:hAnsi="Times New Roman" w:eastAsia="宋体" w:cs="Times New Roman"/>
              </w:rPr>
              <w:t>KO Description</w:t>
            </w:r>
          </w:p>
        </w:tc>
        <w:tc>
          <w:tcPr>
            <w:tcW w:w="1201" w:type="dxa"/>
            <w:tcBorders>
              <w:top w:val="single" w:color="auto" w:sz="4" w:space="0"/>
              <w:left w:val="nil"/>
              <w:bottom w:val="single" w:color="auto" w:sz="4" w:space="0"/>
              <w:right w:val="nil"/>
            </w:tcBorders>
            <w:vAlign w:val="center"/>
          </w:tcPr>
          <w:p>
            <w:pPr>
              <w:adjustRightInd w:val="0"/>
              <w:jc w:val="left"/>
              <w:rPr>
                <w:rFonts w:hint="default" w:ascii="Times New Roman" w:hAnsi="Times New Roman" w:eastAsia="宋体" w:cs="Times New Roman"/>
              </w:rPr>
            </w:pPr>
            <w:r>
              <w:rPr>
                <w:rFonts w:hint="default" w:ascii="Times New Roman" w:hAnsi="Times New Roman" w:eastAsia="宋体" w:cs="Times New Roman"/>
              </w:rPr>
              <w:t>Gene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gridSpan w:val="3"/>
            <w:tcBorders>
              <w:top w:val="single" w:color="auto" w:sz="4" w:space="0"/>
              <w:left w:val="nil"/>
              <w:bottom w:val="single" w:color="auto" w:sz="4" w:space="0"/>
              <w:right w:val="nil"/>
            </w:tcBorders>
          </w:tcPr>
          <w:p>
            <w:pPr>
              <w:jc w:val="left"/>
              <w:rPr>
                <w:rFonts w:hint="default" w:ascii="Times New Roman" w:hAnsi="Times New Roman" w:eastAsia="宋体" w:cs="Times New Roman"/>
              </w:rPr>
            </w:pPr>
            <w:r>
              <w:rPr>
                <w:rFonts w:hint="default" w:ascii="Times New Roman" w:hAnsi="Times New Roman" w:eastAsia="宋体" w:cs="Times New Roman"/>
              </w:rPr>
              <w:t>Pathway A-1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1.13.11.37</w:t>
            </w:r>
          </w:p>
        </w:tc>
        <w:tc>
          <w:tcPr>
            <w:tcW w:w="6073"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hydroxyquinol 1,2-dioxygenase</w:t>
            </w:r>
          </w:p>
        </w:tc>
        <w:tc>
          <w:tcPr>
            <w:tcW w:w="1201"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chqB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1.13.11.1</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catechol 1,2-dioxygenase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5.5.1.1</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muconate cycloisomerase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5.3.3.4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muconolactone D-isomerase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3.1.1.24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3-oxoadipate enol-lactonase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pcaD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2.8.3.6</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3-oxoadipate CoA-transferase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pcaJ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2.3.1.174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3-oxoadipyl-CoA thiolase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pcaF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222"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2.3.1.16</w:t>
            </w:r>
          </w:p>
        </w:tc>
        <w:tc>
          <w:tcPr>
            <w:tcW w:w="6073"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acetyl-CoA acyltransferase</w:t>
            </w:r>
          </w:p>
        </w:tc>
        <w:tc>
          <w:tcPr>
            <w:tcW w:w="1201"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fadA, fadI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gridSpan w:val="3"/>
            <w:tcBorders>
              <w:top w:val="single" w:color="auto" w:sz="4" w:space="0"/>
              <w:left w:val="nil"/>
              <w:bottom w:val="single" w:color="auto" w:sz="4" w:space="0"/>
              <w:right w:val="nil"/>
            </w:tcBorders>
          </w:tcPr>
          <w:p>
            <w:pPr>
              <w:jc w:val="left"/>
              <w:rPr>
                <w:rFonts w:hint="default" w:ascii="Times New Roman" w:hAnsi="Times New Roman" w:eastAsia="宋体" w:cs="Times New Roman"/>
              </w:rPr>
            </w:pPr>
            <w:r>
              <w:rPr>
                <w:rFonts w:hint="default" w:ascii="Times New Roman" w:hAnsi="Times New Roman" w:eastAsia="宋体" w:cs="Times New Roman"/>
              </w:rPr>
              <w:t>Pathway A-2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1.13.11.37</w:t>
            </w:r>
          </w:p>
        </w:tc>
        <w:tc>
          <w:tcPr>
            <w:tcW w:w="6073"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hydroxyquinol 1,2-dioxygenase</w:t>
            </w:r>
          </w:p>
        </w:tc>
        <w:tc>
          <w:tcPr>
            <w:tcW w:w="1201"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chqB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1.13.11.2</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catechol 2,3-dioxygenase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1.13.11.2</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catechol 2,3-dioxygenase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dmpB, xylE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3.7.1.9</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2-hydroxymuconate-semialdehyde hydrolase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dmpD, xylF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4.2.1.80</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2-keto-4-pentenoate hydratase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mhpD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4.21.80</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2-oxopent-4-enoate/cis-2-oxohex-4-enoate hydratase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bphI, xylK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4.1.3.39</w:t>
            </w:r>
          </w:p>
        </w:tc>
        <w:tc>
          <w:tcPr>
            <w:tcW w:w="6073"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4-hydroxy 2-oxovalerate aldolase</w:t>
            </w:r>
          </w:p>
        </w:tc>
        <w:tc>
          <w:tcPr>
            <w:tcW w:w="1201"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mhpE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gridSpan w:val="3"/>
            <w:tcBorders>
              <w:top w:val="single" w:color="auto" w:sz="4" w:space="0"/>
              <w:left w:val="nil"/>
              <w:bottom w:val="single" w:color="auto" w:sz="4" w:space="0"/>
              <w:right w:val="nil"/>
            </w:tcBorders>
          </w:tcPr>
          <w:p>
            <w:pPr>
              <w:jc w:val="left"/>
              <w:rPr>
                <w:rFonts w:hint="default" w:ascii="Times New Roman" w:hAnsi="Times New Roman" w:eastAsia="宋体" w:cs="Times New Roman"/>
              </w:rPr>
            </w:pPr>
            <w:r>
              <w:rPr>
                <w:rFonts w:hint="default" w:ascii="Times New Roman" w:hAnsi="Times New Roman" w:eastAsia="宋体" w:cs="Times New Roman"/>
              </w:rPr>
              <w:t>Pathway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4.1.1.61</w:t>
            </w:r>
          </w:p>
        </w:tc>
        <w:tc>
          <w:tcPr>
            <w:tcW w:w="6073"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vanillate/4-hydroxybenzoate decarboxylase subunit C</w:t>
            </w:r>
          </w:p>
        </w:tc>
        <w:tc>
          <w:tcPr>
            <w:tcW w:w="1201"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bsdC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6.2.1.27</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4-hydroxybenzoate-CoA ligase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hbaA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6.2.1.27</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3-hydroxybenzoate/4-hydroxybenzoate---CoA ligase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hcl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1.1.7.1</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4-hydroxybenzoyl-CoA reductase subunit gamma</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hcrC, hbaB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1.1.7.1</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4-hydroxybenzoyl-CoA reductase subunit alpha</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hcrA, hbaC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1.1.7.1</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4-hydroxybenzoyl-CoA reductase subunit beta</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hcrB, hbaD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1.3.7.8</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benzoyl-CoA reductase subunit D</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bcrD, badG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1.3.7.8</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benzoyl-CoA reductase subunit A</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bcrA, badF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1.3.7.8</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benzoyl-CoA reductase subunit C</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bcrC, badD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1.3.7.8</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benzoyl-CoA reductase subunit B</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bcrB, bade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4.2.1.100</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cyclohexa-1,5-dienecarbonyl-CoA hydratase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dch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1.1.1.368</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6-hydroxycyclohex-1-ene-1-carbonyl-CoA dehydrogenase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3.7.1.21</w:t>
            </w:r>
          </w:p>
        </w:tc>
        <w:tc>
          <w:tcPr>
            <w:tcW w:w="6073"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6-oxocyclohex-1-ene-carbonyl-CoA hydrolase</w:t>
            </w:r>
          </w:p>
        </w:tc>
        <w:tc>
          <w:tcPr>
            <w:tcW w:w="1201"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oah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8496" w:type="dxa"/>
            <w:gridSpan w:val="3"/>
            <w:tcBorders>
              <w:top w:val="single" w:color="auto" w:sz="4" w:space="0"/>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cs="Times New Roman"/>
              </w:rPr>
              <w:t>Ester-bond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3.1.21.3</w:t>
            </w:r>
          </w:p>
        </w:tc>
        <w:tc>
          <w:tcPr>
            <w:tcW w:w="6073"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type I restriction enzyme, R subunit</w:t>
            </w:r>
          </w:p>
        </w:tc>
        <w:tc>
          <w:tcPr>
            <w:tcW w:w="1201"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hsdS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3.1.21.3</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type I restriction enzyme, S subunit</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hsdR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3.1.-.-</w:t>
            </w:r>
          </w:p>
        </w:tc>
        <w:tc>
          <w:tcPr>
            <w:tcW w:w="6073"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single-stranded-DNA-specific exonuclease</w:t>
            </w:r>
          </w:p>
        </w:tc>
        <w:tc>
          <w:tcPr>
            <w:tcW w:w="1201"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recJ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8496" w:type="dxa"/>
            <w:gridSpan w:val="3"/>
            <w:tcBorders>
              <w:top w:val="single" w:color="auto" w:sz="4" w:space="0"/>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Anhydride-bond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3.6.3.-</w:t>
            </w:r>
          </w:p>
        </w:tc>
        <w:tc>
          <w:tcPr>
            <w:tcW w:w="6073"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MoxR-like ATPase</w:t>
            </w:r>
          </w:p>
        </w:tc>
        <w:tc>
          <w:tcPr>
            <w:tcW w:w="1201"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moxR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3.6.4.-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primosomal protein N' (replication factor Y) (superfamily II helicase)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3.6.4.12</w:t>
            </w:r>
          </w:p>
        </w:tc>
        <w:tc>
          <w:tcPr>
            <w:tcW w:w="6073" w:type="dxa"/>
            <w:tcBorders>
              <w:top w:val="nil"/>
              <w:left w:val="nil"/>
              <w:bottom w:val="nil"/>
              <w:right w:val="nil"/>
            </w:tcBorders>
            <w:vAlign w:val="center"/>
          </w:tcPr>
          <w:p>
            <w:pPr>
              <w:jc w:val="left"/>
              <w:rPr>
                <w:rFonts w:hint="default" w:ascii="Times New Roman" w:hAnsi="Times New Roman" w:eastAsia="宋体" w:cs="Times New Roman"/>
                <w:sz w:val="18"/>
                <w:szCs w:val="18"/>
              </w:rPr>
            </w:pPr>
            <w:r>
              <w:rPr>
                <w:rFonts w:hint="default" w:ascii="Times New Roman" w:hAnsi="Times New Roman" w:eastAsia="宋体" w:cs="Times New Roman"/>
                <w:szCs w:val="21"/>
              </w:rPr>
              <w:t>DNA helicase II / ATP-dependent DNA helicase PcrA</w:t>
            </w:r>
          </w:p>
        </w:tc>
        <w:tc>
          <w:tcPr>
            <w:tcW w:w="1201" w:type="dxa"/>
            <w:tcBorders>
              <w:top w:val="nil"/>
              <w:left w:val="nil"/>
              <w:bottom w:val="nil"/>
              <w:right w:val="nil"/>
            </w:tcBorders>
            <w:vAlign w:val="center"/>
          </w:tcPr>
          <w:p>
            <w:pPr>
              <w:widowControl/>
              <w:jc w:val="left"/>
              <w:rPr>
                <w:rFonts w:hint="default" w:ascii="Times New Roman" w:hAnsi="Times New Roman" w:eastAsia="等线" w:cs="Times New Roman"/>
                <w:color w:val="FF0000"/>
                <w:kern w:val="0"/>
                <w:sz w:val="24"/>
              </w:rPr>
            </w:pPr>
            <w:r>
              <w:rPr>
                <w:rFonts w:hint="default" w:ascii="Times New Roman" w:hAnsi="Times New Roman" w:eastAsia="等线" w:cs="Times New Roman"/>
                <w:kern w:val="0"/>
                <w:szCs w:val="21"/>
              </w:rPr>
              <w:t>uvrD, pcrA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3.6.4.12</w:t>
            </w:r>
          </w:p>
        </w:tc>
        <w:tc>
          <w:tcPr>
            <w:tcW w:w="6073"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ATP-dependent DNA helicase RecG</w:t>
            </w:r>
          </w:p>
        </w:tc>
        <w:tc>
          <w:tcPr>
            <w:tcW w:w="1201"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recG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8496" w:type="dxa"/>
            <w:gridSpan w:val="3"/>
            <w:tcBorders>
              <w:top w:val="single" w:color="auto" w:sz="4" w:space="0"/>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Peptide-bond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3.4.19.13</w:t>
            </w:r>
          </w:p>
        </w:tc>
        <w:tc>
          <w:tcPr>
            <w:tcW w:w="6073"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gamma-glutamyltranspeptidase/glutathione hydrolase</w:t>
            </w:r>
          </w:p>
        </w:tc>
        <w:tc>
          <w:tcPr>
            <w:tcW w:w="1201" w:type="dxa"/>
            <w:tcBorders>
              <w:top w:val="single" w:color="auto" w:sz="4" w:space="0"/>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ggt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putative protease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K08303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3.4.24.-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cell division protease FtsH</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ftsH, hflB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3.4.24.-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zinc protease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pqqL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3.4.21.53</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ATP-dependent Lon protease</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Lon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3.4.16.4</w:t>
            </w:r>
          </w:p>
        </w:tc>
        <w:tc>
          <w:tcPr>
            <w:tcW w:w="6073"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penicillin-binding protein 1A</w:t>
            </w:r>
          </w:p>
        </w:tc>
        <w:tc>
          <w:tcPr>
            <w:tcW w:w="1201" w:type="dxa"/>
            <w:tcBorders>
              <w:top w:val="nil"/>
              <w:left w:val="nil"/>
              <w:bottom w:val="nil"/>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mrcA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222"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3.4.11.9</w:t>
            </w:r>
          </w:p>
        </w:tc>
        <w:tc>
          <w:tcPr>
            <w:tcW w:w="6073"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Xaa-Pro aminopeptidase</w:t>
            </w:r>
          </w:p>
        </w:tc>
        <w:tc>
          <w:tcPr>
            <w:tcW w:w="1201" w:type="dxa"/>
            <w:tcBorders>
              <w:top w:val="nil"/>
              <w:left w:val="nil"/>
              <w:bottom w:val="single" w:color="auto" w:sz="4" w:space="0"/>
              <w:right w:val="nil"/>
            </w:tcBorders>
            <w:vAlign w:val="center"/>
          </w:tcPr>
          <w:p>
            <w:pPr>
              <w:jc w:val="left"/>
              <w:rPr>
                <w:rFonts w:hint="default" w:ascii="Times New Roman" w:hAnsi="Times New Roman" w:eastAsia="宋体" w:cs="Times New Roman"/>
              </w:rPr>
            </w:pPr>
            <w:r>
              <w:rPr>
                <w:rFonts w:hint="default" w:ascii="Times New Roman" w:hAnsi="Times New Roman" w:eastAsia="宋体" w:cs="Times New Roman"/>
              </w:rPr>
              <w:t>pepP</w:t>
            </w:r>
          </w:p>
        </w:tc>
      </w:tr>
    </w:tbl>
    <w:p>
      <w:pPr>
        <w:rPr>
          <w:rFonts w:hint="default" w:ascii="Times New Roman" w:hAnsi="Times New Roman" w:cs="Times New Roman"/>
          <w:szCs w:val="21"/>
        </w:rPr>
      </w:pPr>
      <w:r>
        <w:rPr>
          <w:rFonts w:hint="default" w:ascii="Times New Roman" w:hAnsi="Times New Roman" w:cs="Times New Roman"/>
          <w:szCs w:val="21"/>
        </w:rPr>
        <w:br w:type="page"/>
      </w:r>
    </w:p>
    <w:p>
      <w:pPr>
        <w:pStyle w:val="2"/>
        <w:rPr>
          <w:rFonts w:hint="default" w:ascii="Times New Roman" w:hAnsi="Times New Roman" w:cs="Times New Roman"/>
        </w:rPr>
      </w:pPr>
      <w:r>
        <w:rPr>
          <w:rFonts w:hint="default" w:ascii="Times New Roman" w:hAnsi="Times New Roman" w:cs="Times New Roman"/>
        </w:rPr>
        <w:t>References</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szCs w:val="21"/>
        </w:rPr>
        <w:fldChar w:fldCharType="begin"/>
      </w:r>
      <w:r>
        <w:rPr>
          <w:rFonts w:hint="default" w:ascii="Times New Roman" w:hAnsi="Times New Roman" w:cs="Times New Roman"/>
          <w:szCs w:val="21"/>
        </w:rPr>
        <w:instrText xml:space="preserve"> ADDIN EN.REFLIST </w:instrText>
      </w:r>
      <w:r>
        <w:rPr>
          <w:rFonts w:hint="default" w:ascii="Times New Roman" w:hAnsi="Times New Roman" w:cs="Times New Roman"/>
          <w:szCs w:val="21"/>
        </w:rPr>
        <w:fldChar w:fldCharType="separate"/>
      </w:r>
      <w:r>
        <w:rPr>
          <w:rFonts w:hint="default" w:ascii="Times New Roman" w:hAnsi="Times New Roman" w:cs="Times New Roman"/>
          <w:color w:val="FF0000"/>
          <w:highlight w:val="none"/>
        </w:rPr>
        <w:t>Buchfink, B., Xie, C. and Huson, D.H. (2015) Fast and sensitive protein alignment using DIAMOND. Nature Methods 12(1), 59-60.</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Fu, L., Niu, B., Zhu, Z., Wu, S. and Li, W. (2012) CD-HIT: accelerated for clustering the next-generation sequencing data. Bioinformatics 28(23), 3150-3152.</w:t>
      </w:r>
    </w:p>
    <w:p>
      <w:pPr>
        <w:pStyle w:val="22"/>
        <w:spacing w:line="240" w:lineRule="auto"/>
        <w:rPr>
          <w:rFonts w:hint="default" w:ascii="Times New Roman" w:hAnsi="Times New Roman" w:cs="Times New Roman"/>
        </w:rPr>
      </w:pPr>
      <w:r>
        <w:rPr>
          <w:rFonts w:hint="default" w:ascii="Times New Roman" w:hAnsi="Times New Roman" w:cs="Times New Roman"/>
        </w:rPr>
        <w:t>Hei, S.Q., Xu, H., Liu, B.M., Zhu, X.Z., Zhang, S., Zhang, X., Li, R.W. and Huang, X. (2022) Enhanced pre-treatment of sepiolite on coal gasification wastewater: Performance and adsorption mechanism. Journal of Hazardous Materials 440, 129842.</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Li, D., Liu, C.-M., Luo, R., Sadakane, K. and Lam, T.-W. (2015) MEGAHIT: an ultra-fast single-node solution for large and complex metagenomics assembly via succinct de Bruijn graph. Bioinformatics 31(10), 1674-1676.</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Li, R., Li, Y., Kristiansen, K. and Wang, J. (2008) SOAP: short oligonucleotide alignment program. Bioinformatics 24(5), 713-714.</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Noguchi, H., Park, J. and Takagi, T. (2006) MetaGene: prokaryotic gene finding from environmental genome shotgun sequences. Nucleic Acids Research 34(19), 5623-5630.</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Song, G., Yu, Y., Liu, T., Xi, H. and Zhou, Y. (2019) Performance of microaeration hydrolytic acidification process in the pretreatment of 2-butenal manufacture wastewater. Journal of Hazardous Materials 369, 465-473.</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Tian, X., Song, Y., Shen, Z., Zhou, Y., Wang, K., Jin, X., Han, Z. and Liu, T. (2020) A comprehensive review on toxic petrochemical wastewater pretreatment and advanced treatment. Journal of Cleaner Production 245, 118692.</w:t>
      </w:r>
    </w:p>
    <w:p>
      <w:pPr>
        <w:pStyle w:val="22"/>
        <w:spacing w:line="24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Wang, A.-J., Cheng, H.-Y., Liang, B., Ren, N.-Q., Cui, D., Lin, N., Kim, B.H. and Rabaey, K. (2011) Efficient Reduction of Nitrobenzene to Aniline with a Biocatalyzed Cathode. Environmental Science &amp; Technology 45(23), 10186-10193.</w:t>
      </w:r>
    </w:p>
    <w:p>
      <w:pPr>
        <w:pStyle w:val="22"/>
        <w:spacing w:line="240" w:lineRule="auto"/>
        <w:rPr>
          <w:rFonts w:hint="default" w:ascii="Times New Roman" w:hAnsi="Times New Roman" w:cs="Times New Roman"/>
        </w:rPr>
      </w:pPr>
      <w:r>
        <w:rPr>
          <w:rFonts w:hint="default" w:ascii="Times New Roman" w:hAnsi="Times New Roman" w:cs="Times New Roman"/>
        </w:rPr>
        <w:t>Zhang, Z.W., Xi, H.B., Yu, Y., Wu, C.Y., Yang, Y., Guo, Z.Z. and Zhou, Y.X. (2022) Coupling of membrane-based bubbleless micro-aeration for 2,4-dinitro-phenol degradation in a hydrolysis acidification reactor. Water Research 212, 118119.</w:t>
      </w:r>
    </w:p>
    <w:p>
      <w:pPr>
        <w:pStyle w:val="22"/>
        <w:spacing w:line="240" w:lineRule="auto"/>
        <w:rPr>
          <w:rFonts w:hint="default" w:ascii="Times New Roman" w:hAnsi="Times New Roman" w:cs="Times New Roman"/>
        </w:rPr>
      </w:pPr>
      <w:r>
        <w:rPr>
          <w:rFonts w:hint="default" w:ascii="Times New Roman" w:hAnsi="Times New Roman" w:cs="Times New Roman"/>
        </w:rPr>
        <w:t>Zhu, X.Z., Tian, T., Li, D.Y., Hei, S.Q., Chen, L., Song, G.Q., Lin, W.C. and Huang, X. (2023) Interface interaction between silica and organic macromolecule conditioned forward osmosis membranes: Insights into quantitative thermodynamics and dynamics. Water Research 232, 119721.</w:t>
      </w:r>
    </w:p>
    <w:p>
      <w:pPr>
        <w:spacing w:line="240" w:lineRule="auto"/>
        <w:rPr>
          <w:rFonts w:hint="default" w:ascii="Times New Roman" w:hAnsi="Times New Roman" w:cs="Times New Roman"/>
          <w:szCs w:val="21"/>
        </w:rPr>
      </w:pPr>
      <w:r>
        <w:rPr>
          <w:rFonts w:hint="default" w:ascii="Times New Roman" w:hAnsi="Times New Roman" w:cs="Times New Roman"/>
          <w:szCs w:val="21"/>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方正仿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11224F"/>
    <w:multiLevelType w:val="singleLevel"/>
    <w:tmpl w:val="311122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RjNzAzZWNiYmI3NjRkMTBjMDJmNGIwZTc1MWY4ODAifQ=="/>
    <w:docVar w:name="EN.InstantFormat" w:val="&lt;ENInstantFormat&gt;&lt;Enabled&gt;1&lt;/Enabled&gt;&lt;ScanUnformatted&gt;1&lt;/ScanUnformatted&gt;&lt;ScanChanges&gt;1&lt;/ScanChanges&gt;&lt;Suspended&gt;0&lt;/Suspended&gt;&lt;/ENInstantFormat&gt;"/>
    <w:docVar w:name="EN.Layout" w:val="&lt;ENLayout&gt;&lt;Style&gt;Water Researc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wxdpzd9vd5r7e9t5b595djrfpttrxw9avp&quot;&gt;Sample_Library_X9&lt;record-ids&gt;&lt;item&gt;2341&lt;/item&gt;&lt;item&gt;2342&lt;/item&gt;&lt;item&gt;2343&lt;/item&gt;&lt;item&gt;2344&lt;/item&gt;&lt;item&gt;2345&lt;/item&gt;&lt;item&gt;2346&lt;/item&gt;&lt;item&gt;2347&lt;/item&gt;&lt;item&gt;2348&lt;/item&gt;&lt;/record-ids&gt;&lt;/item&gt;&lt;/Libraries&gt;"/>
    <w:docVar w:name="KSO_WPS_MARK_KEY" w:val="59427307-3136-451e-b8db-495d5dbde504"/>
  </w:docVars>
  <w:rsids>
    <w:rsidRoot w:val="00D13DFF"/>
    <w:rsid w:val="00001E8F"/>
    <w:rsid w:val="0000294C"/>
    <w:rsid w:val="000041CC"/>
    <w:rsid w:val="00004C9B"/>
    <w:rsid w:val="00020ADE"/>
    <w:rsid w:val="000825E9"/>
    <w:rsid w:val="00087FCA"/>
    <w:rsid w:val="00096046"/>
    <w:rsid w:val="000B369B"/>
    <w:rsid w:val="000C54D2"/>
    <w:rsid w:val="000D7C10"/>
    <w:rsid w:val="000E0704"/>
    <w:rsid w:val="000F07DA"/>
    <w:rsid w:val="000F0F02"/>
    <w:rsid w:val="00121378"/>
    <w:rsid w:val="001A1506"/>
    <w:rsid w:val="001A224C"/>
    <w:rsid w:val="001C69FD"/>
    <w:rsid w:val="001F35E1"/>
    <w:rsid w:val="0020354D"/>
    <w:rsid w:val="00222AFB"/>
    <w:rsid w:val="002338F0"/>
    <w:rsid w:val="0027484C"/>
    <w:rsid w:val="002914D6"/>
    <w:rsid w:val="002A0897"/>
    <w:rsid w:val="002B7B6C"/>
    <w:rsid w:val="002F5C53"/>
    <w:rsid w:val="00320DFE"/>
    <w:rsid w:val="00334F8D"/>
    <w:rsid w:val="0034128E"/>
    <w:rsid w:val="0034291E"/>
    <w:rsid w:val="0035707C"/>
    <w:rsid w:val="00381492"/>
    <w:rsid w:val="00392687"/>
    <w:rsid w:val="003A5236"/>
    <w:rsid w:val="003B0476"/>
    <w:rsid w:val="003B4943"/>
    <w:rsid w:val="003D4DA9"/>
    <w:rsid w:val="004026B3"/>
    <w:rsid w:val="004211E3"/>
    <w:rsid w:val="00460064"/>
    <w:rsid w:val="004857FF"/>
    <w:rsid w:val="00486CBB"/>
    <w:rsid w:val="004969DA"/>
    <w:rsid w:val="004B2032"/>
    <w:rsid w:val="004B2A97"/>
    <w:rsid w:val="004C4E2F"/>
    <w:rsid w:val="004F168E"/>
    <w:rsid w:val="005113A6"/>
    <w:rsid w:val="005A608D"/>
    <w:rsid w:val="005B61B5"/>
    <w:rsid w:val="005B7C2C"/>
    <w:rsid w:val="005C71EF"/>
    <w:rsid w:val="005D38B5"/>
    <w:rsid w:val="005D5043"/>
    <w:rsid w:val="005D5096"/>
    <w:rsid w:val="005E0312"/>
    <w:rsid w:val="005E09A5"/>
    <w:rsid w:val="005F4405"/>
    <w:rsid w:val="005F7FAC"/>
    <w:rsid w:val="00604B91"/>
    <w:rsid w:val="00604DEF"/>
    <w:rsid w:val="0061354B"/>
    <w:rsid w:val="0062376B"/>
    <w:rsid w:val="006243E8"/>
    <w:rsid w:val="00632FAF"/>
    <w:rsid w:val="006650B2"/>
    <w:rsid w:val="00676890"/>
    <w:rsid w:val="006A28B3"/>
    <w:rsid w:val="0070644B"/>
    <w:rsid w:val="00777B9F"/>
    <w:rsid w:val="00792F0A"/>
    <w:rsid w:val="007A4B76"/>
    <w:rsid w:val="008364BA"/>
    <w:rsid w:val="00863BD7"/>
    <w:rsid w:val="0087224F"/>
    <w:rsid w:val="00882AA8"/>
    <w:rsid w:val="008961F5"/>
    <w:rsid w:val="008A4EC7"/>
    <w:rsid w:val="008E73AF"/>
    <w:rsid w:val="008F1F82"/>
    <w:rsid w:val="00907D49"/>
    <w:rsid w:val="00915834"/>
    <w:rsid w:val="009330BE"/>
    <w:rsid w:val="00953775"/>
    <w:rsid w:val="009712DA"/>
    <w:rsid w:val="0098554E"/>
    <w:rsid w:val="009A1392"/>
    <w:rsid w:val="009A73F8"/>
    <w:rsid w:val="009E170F"/>
    <w:rsid w:val="00A07664"/>
    <w:rsid w:val="00A35E2E"/>
    <w:rsid w:val="00A72CDD"/>
    <w:rsid w:val="00A93716"/>
    <w:rsid w:val="00AA27B2"/>
    <w:rsid w:val="00AC111B"/>
    <w:rsid w:val="00AD7EBA"/>
    <w:rsid w:val="00AE2891"/>
    <w:rsid w:val="00B04E55"/>
    <w:rsid w:val="00B43C1E"/>
    <w:rsid w:val="00B5702B"/>
    <w:rsid w:val="00B7278C"/>
    <w:rsid w:val="00B77BB7"/>
    <w:rsid w:val="00BA2E88"/>
    <w:rsid w:val="00BA5333"/>
    <w:rsid w:val="00BB7DF4"/>
    <w:rsid w:val="00BD4434"/>
    <w:rsid w:val="00C11E0A"/>
    <w:rsid w:val="00C26153"/>
    <w:rsid w:val="00C27D79"/>
    <w:rsid w:val="00C42FE1"/>
    <w:rsid w:val="00C7328E"/>
    <w:rsid w:val="00C80E91"/>
    <w:rsid w:val="00CC39AB"/>
    <w:rsid w:val="00CD2B49"/>
    <w:rsid w:val="00D0413F"/>
    <w:rsid w:val="00D125B8"/>
    <w:rsid w:val="00D13DFF"/>
    <w:rsid w:val="00D3777D"/>
    <w:rsid w:val="00D37C9F"/>
    <w:rsid w:val="00D44D39"/>
    <w:rsid w:val="00D450DE"/>
    <w:rsid w:val="00D45C53"/>
    <w:rsid w:val="00D618F5"/>
    <w:rsid w:val="00D852D0"/>
    <w:rsid w:val="00DB3E82"/>
    <w:rsid w:val="00DB5717"/>
    <w:rsid w:val="00DE7D3B"/>
    <w:rsid w:val="00E409C8"/>
    <w:rsid w:val="00E557CD"/>
    <w:rsid w:val="00E6633F"/>
    <w:rsid w:val="00E821EB"/>
    <w:rsid w:val="00EA5F0F"/>
    <w:rsid w:val="00EB0E81"/>
    <w:rsid w:val="00EF2F22"/>
    <w:rsid w:val="00F319EF"/>
    <w:rsid w:val="00F63193"/>
    <w:rsid w:val="00F82EA9"/>
    <w:rsid w:val="00FA7C2A"/>
    <w:rsid w:val="00FE70A5"/>
    <w:rsid w:val="014D3A42"/>
    <w:rsid w:val="064A12E8"/>
    <w:rsid w:val="0C355862"/>
    <w:rsid w:val="112847B9"/>
    <w:rsid w:val="127472F7"/>
    <w:rsid w:val="196428A0"/>
    <w:rsid w:val="197B06D2"/>
    <w:rsid w:val="19897895"/>
    <w:rsid w:val="1B2B7E76"/>
    <w:rsid w:val="1BD354CB"/>
    <w:rsid w:val="1E7F7527"/>
    <w:rsid w:val="224770AF"/>
    <w:rsid w:val="28C762CF"/>
    <w:rsid w:val="2A753905"/>
    <w:rsid w:val="2ECE3582"/>
    <w:rsid w:val="312B7D6E"/>
    <w:rsid w:val="350535BC"/>
    <w:rsid w:val="35F63EE5"/>
    <w:rsid w:val="3F930DC1"/>
    <w:rsid w:val="451650D6"/>
    <w:rsid w:val="483E18EC"/>
    <w:rsid w:val="49D104CB"/>
    <w:rsid w:val="4C40071A"/>
    <w:rsid w:val="514C3B3D"/>
    <w:rsid w:val="53E638DE"/>
    <w:rsid w:val="558438A1"/>
    <w:rsid w:val="56D33ECD"/>
    <w:rsid w:val="589D2E52"/>
    <w:rsid w:val="59125592"/>
    <w:rsid w:val="663028FA"/>
    <w:rsid w:val="69955347"/>
    <w:rsid w:val="6CEA2DB4"/>
    <w:rsid w:val="73467620"/>
    <w:rsid w:val="791E1501"/>
    <w:rsid w:val="7DE771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outlineLvl w:val="0"/>
    </w:pPr>
    <w:rPr>
      <w:b/>
      <w:kern w:val="44"/>
    </w:rPr>
  </w:style>
  <w:style w:type="paragraph" w:styleId="3">
    <w:name w:val="heading 3"/>
    <w:basedOn w:val="1"/>
    <w:next w:val="1"/>
    <w:link w:val="16"/>
    <w:unhideWhenUsed/>
    <w:qFormat/>
    <w:uiPriority w:val="0"/>
    <w:pPr>
      <w:keepNext/>
      <w:keepLines/>
      <w:spacing w:before="140" w:after="140" w:line="360" w:lineRule="auto"/>
      <w:outlineLvl w:val="2"/>
    </w:pPr>
    <w:rPr>
      <w:rFonts w:ascii="Times New Roman" w:hAnsi="Times New Roman" w:eastAsia="宋体"/>
      <w:b/>
      <w:sz w:val="24"/>
      <w:szCs w:val="24"/>
    </w:rPr>
  </w:style>
  <w:style w:type="character" w:default="1" w:styleId="10">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5"/>
    <w:semiHidden/>
    <w:unhideWhenUsed/>
    <w:qFormat/>
    <w:uiPriority w:val="99"/>
    <w:pPr>
      <w:jc w:val="left"/>
    </w:pPr>
  </w:style>
  <w:style w:type="paragraph" w:styleId="5">
    <w:name w:val="Balloon Text"/>
    <w:basedOn w:val="1"/>
    <w:link w:val="24"/>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u w:val="single"/>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7"/>
    <w:qFormat/>
    <w:uiPriority w:val="99"/>
    <w:rPr>
      <w:sz w:val="18"/>
      <w:szCs w:val="18"/>
    </w:rPr>
  </w:style>
  <w:style w:type="character" w:customStyle="1" w:styleId="14">
    <w:name w:val="页脚 字符"/>
    <w:basedOn w:val="10"/>
    <w:link w:val="6"/>
    <w:qFormat/>
    <w:uiPriority w:val="99"/>
    <w:rPr>
      <w:sz w:val="18"/>
      <w:szCs w:val="18"/>
    </w:rPr>
  </w:style>
  <w:style w:type="character" w:customStyle="1" w:styleId="15">
    <w:name w:val="批注文字 字符"/>
    <w:basedOn w:val="10"/>
    <w:link w:val="4"/>
    <w:semiHidden/>
    <w:qFormat/>
    <w:uiPriority w:val="99"/>
  </w:style>
  <w:style w:type="character" w:customStyle="1" w:styleId="16">
    <w:name w:val="标题 3 字符"/>
    <w:basedOn w:val="10"/>
    <w:link w:val="3"/>
    <w:qFormat/>
    <w:uiPriority w:val="0"/>
    <w:rPr>
      <w:rFonts w:ascii="Times New Roman" w:hAnsi="Times New Roman" w:eastAsia="宋体"/>
      <w:b/>
      <w:sz w:val="24"/>
      <w:szCs w:val="24"/>
    </w:rPr>
  </w:style>
  <w:style w:type="paragraph" w:styleId="17">
    <w:name w:val="List Paragraph"/>
    <w:basedOn w:val="1"/>
    <w:qFormat/>
    <w:uiPriority w:val="34"/>
    <w:pPr>
      <w:ind w:firstLine="420" w:firstLineChars="200"/>
    </w:pPr>
  </w:style>
  <w:style w:type="paragraph" w:customStyle="1" w:styleId="18">
    <w:name w:val="表格正文"/>
    <w:basedOn w:val="1"/>
    <w:qFormat/>
    <w:uiPriority w:val="0"/>
    <w:pPr>
      <w:spacing w:line="360" w:lineRule="auto"/>
      <w:jc w:val="center"/>
    </w:pPr>
    <w:rPr>
      <w:rFonts w:ascii="Times New Roman" w:hAnsi="Times New Roman" w:eastAsia="宋体" w:cs="宋体"/>
      <w:bCs/>
      <w:sz w:val="22"/>
      <w:szCs w:val="24"/>
    </w:rPr>
  </w:style>
  <w:style w:type="paragraph" w:customStyle="1" w:styleId="19">
    <w:name w:val="表注"/>
    <w:basedOn w:val="1"/>
    <w:qFormat/>
    <w:uiPriority w:val="0"/>
    <w:pPr>
      <w:spacing w:before="240" w:after="120"/>
      <w:jc w:val="center"/>
    </w:pPr>
    <w:rPr>
      <w:rFonts w:ascii="Times New Roman" w:hAnsi="Times New Roman" w:eastAsia="宋体"/>
      <w:sz w:val="22"/>
      <w:szCs w:val="24"/>
    </w:rPr>
  </w:style>
  <w:style w:type="table" w:customStyle="1" w:styleId="20">
    <w:name w:val="网格型1"/>
    <w:basedOn w:val="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EndNote Bibliography Title"/>
    <w:basedOn w:val="1"/>
    <w:qFormat/>
    <w:uiPriority w:val="0"/>
    <w:pPr>
      <w:jc w:val="center"/>
    </w:pPr>
    <w:rPr>
      <w:rFonts w:ascii="等线" w:hAnsi="等线" w:eastAsia="等线" w:cs="Times New Roman"/>
      <w:sz w:val="20"/>
    </w:rPr>
  </w:style>
  <w:style w:type="paragraph" w:customStyle="1" w:styleId="22">
    <w:name w:val="EndNote Bibliography"/>
    <w:basedOn w:val="1"/>
    <w:link w:val="23"/>
    <w:qFormat/>
    <w:uiPriority w:val="0"/>
    <w:rPr>
      <w:rFonts w:ascii="等线" w:hAnsi="等线" w:eastAsia="等线"/>
      <w:sz w:val="20"/>
    </w:rPr>
  </w:style>
  <w:style w:type="character" w:customStyle="1" w:styleId="23">
    <w:name w:val="EndNote Bibliography 字符"/>
    <w:basedOn w:val="10"/>
    <w:link w:val="22"/>
    <w:qFormat/>
    <w:uiPriority w:val="0"/>
    <w:rPr>
      <w:rFonts w:ascii="等线" w:hAnsi="等线" w:eastAsia="等线" w:cstheme="minorBidi"/>
      <w:kern w:val="2"/>
      <w:szCs w:val="22"/>
    </w:rPr>
  </w:style>
  <w:style w:type="character" w:customStyle="1" w:styleId="24">
    <w:name w:val="批注框文本 字符"/>
    <w:basedOn w:val="10"/>
    <w:link w:val="5"/>
    <w:semiHidden/>
    <w:qFormat/>
    <w:uiPriority w:val="99"/>
    <w:rPr>
      <w:rFonts w:asciiTheme="minorHAnsi" w:hAnsiTheme="minorHAnsi" w:eastAsiaTheme="minorEastAsia" w:cstheme="minorBidi"/>
      <w:kern w:val="2"/>
      <w:sz w:val="18"/>
      <w:szCs w:val="18"/>
    </w:rPr>
  </w:style>
  <w:style w:type="character" w:customStyle="1" w:styleId="25">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0" Type="http://schemas.openxmlformats.org/officeDocument/2006/relationships/fontTable" Target="fontTable.xml"/><Relationship Id="rId5" Type="http://schemas.openxmlformats.org/officeDocument/2006/relationships/image" Target="media/image1.wmf"/><Relationship Id="rId49" Type="http://schemas.openxmlformats.org/officeDocument/2006/relationships/numbering" Target="numbering.xml"/><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emf"/><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tiff"/><Relationship Id="rId41" Type="http://schemas.openxmlformats.org/officeDocument/2006/relationships/image" Target="media/image21.emf"/><Relationship Id="rId40" Type="http://schemas.openxmlformats.org/officeDocument/2006/relationships/oleObject" Target="embeddings/oleObject17.bin"/><Relationship Id="rId4" Type="http://schemas.openxmlformats.org/officeDocument/2006/relationships/oleObject" Target="embeddings/oleObject1.bin"/><Relationship Id="rId39" Type="http://schemas.openxmlformats.org/officeDocument/2006/relationships/image" Target="media/image20.emf"/><Relationship Id="rId38" Type="http://schemas.openxmlformats.org/officeDocument/2006/relationships/oleObject" Target="embeddings/oleObject16.bin"/><Relationship Id="rId37" Type="http://schemas.openxmlformats.org/officeDocument/2006/relationships/image" Target="media/image19.emf"/><Relationship Id="rId36" Type="http://schemas.openxmlformats.org/officeDocument/2006/relationships/oleObject" Target="embeddings/oleObject15.bin"/><Relationship Id="rId35" Type="http://schemas.openxmlformats.org/officeDocument/2006/relationships/image" Target="media/image18.emf"/><Relationship Id="rId34" Type="http://schemas.openxmlformats.org/officeDocument/2006/relationships/oleObject" Target="embeddings/oleObject14.bin"/><Relationship Id="rId33" Type="http://schemas.openxmlformats.org/officeDocument/2006/relationships/image" Target="media/image17.emf"/><Relationship Id="rId32" Type="http://schemas.openxmlformats.org/officeDocument/2006/relationships/oleObject" Target="embeddings/oleObject13.bin"/><Relationship Id="rId31" Type="http://schemas.openxmlformats.org/officeDocument/2006/relationships/image" Target="media/image16.emf"/><Relationship Id="rId30" Type="http://schemas.openxmlformats.org/officeDocument/2006/relationships/oleObject" Target="embeddings/oleObject12.bin"/><Relationship Id="rId3" Type="http://schemas.openxmlformats.org/officeDocument/2006/relationships/theme" Target="theme/theme1.xml"/><Relationship Id="rId29" Type="http://schemas.openxmlformats.org/officeDocument/2006/relationships/image" Target="media/image15.emf"/><Relationship Id="rId28" Type="http://schemas.openxmlformats.org/officeDocument/2006/relationships/oleObject" Target="embeddings/oleObject11.bin"/><Relationship Id="rId27" Type="http://schemas.openxmlformats.org/officeDocument/2006/relationships/image" Target="media/image14.emf"/><Relationship Id="rId26" Type="http://schemas.openxmlformats.org/officeDocument/2006/relationships/oleObject" Target="embeddings/oleObject10.bin"/><Relationship Id="rId25" Type="http://schemas.openxmlformats.org/officeDocument/2006/relationships/image" Target="media/image13.emf"/><Relationship Id="rId24" Type="http://schemas.openxmlformats.org/officeDocument/2006/relationships/oleObject" Target="embeddings/oleObject9.bin"/><Relationship Id="rId23" Type="http://schemas.openxmlformats.org/officeDocument/2006/relationships/image" Target="media/image12.emf"/><Relationship Id="rId22" Type="http://schemas.openxmlformats.org/officeDocument/2006/relationships/oleObject" Target="embeddings/oleObject8.bin"/><Relationship Id="rId21" Type="http://schemas.openxmlformats.org/officeDocument/2006/relationships/image" Target="media/image11.emf"/><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oleObject" Target="embeddings/oleObject7.bin"/><Relationship Id="rId17" Type="http://schemas.openxmlformats.org/officeDocument/2006/relationships/image" Target="media/image8.emf"/><Relationship Id="rId16" Type="http://schemas.openxmlformats.org/officeDocument/2006/relationships/oleObject" Target="embeddings/oleObject6.bin"/><Relationship Id="rId15" Type="http://schemas.openxmlformats.org/officeDocument/2006/relationships/image" Target="media/image7.emf"/><Relationship Id="rId14" Type="http://schemas.openxmlformats.org/officeDocument/2006/relationships/oleObject" Target="embeddings/oleObject5.bin"/><Relationship Id="rId13" Type="http://schemas.openxmlformats.org/officeDocument/2006/relationships/image" Target="media/image6.emf"/><Relationship Id="rId12" Type="http://schemas.openxmlformats.org/officeDocument/2006/relationships/oleObject" Target="embeddings/oleObject4.bin"/><Relationship Id="rId11" Type="http://schemas.openxmlformats.org/officeDocument/2006/relationships/image" Target="media/image5.png"/><Relationship Id="rId10" Type="http://schemas.openxmlformats.org/officeDocument/2006/relationships/image" Target="media/image4.tif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2942</Words>
  <Characters>17608</Characters>
  <Lines>229</Lines>
  <Paragraphs>64</Paragraphs>
  <TotalTime>101</TotalTime>
  <ScaleCrop>false</ScaleCrop>
  <LinksUpToDate>false</LinksUpToDate>
  <CharactersWithSpaces>20165</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2024-11-07T03:52:00Z</dcterms:created>
  <dc:creator>郭 鑫瑞</dc:creator>
  <cp:lastModifiedBy>正在输入......</cp:lastModifiedBy>
  <dcterms:modified xsi:type="dcterms:W3CDTF">2025-04-19T08:06:23Z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FE84E0C8051146D5B62DB9E2625372C9</vt:lpwstr>
  </property>
</Properties>
</file>