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D4CB5">
      <w:pPr>
        <w:spacing w:line="360" w:lineRule="auto"/>
        <w:jc w:val="center"/>
        <w:rPr>
          <w:rFonts w:ascii="Times New Roman" w:hAnsi="Times New Roman" w:eastAsia="仿宋" w:cs="Times New Roman"/>
          <w:b/>
          <w:i/>
          <w:iCs/>
          <w:sz w:val="28"/>
          <w:szCs w:val="28"/>
        </w:rPr>
      </w:pPr>
      <w:bookmarkStart w:id="15" w:name="_GoBack"/>
      <w:bookmarkEnd w:id="15"/>
      <w:r>
        <w:rPr>
          <w:rFonts w:ascii="Times New Roman" w:hAnsi="Times New Roman" w:eastAsia="仿宋" w:cs="Times New Roman"/>
          <w:b/>
          <w:i/>
          <w:iCs/>
          <w:sz w:val="28"/>
          <w:szCs w:val="28"/>
        </w:rPr>
        <w:t>Supplementary information</w:t>
      </w:r>
    </w:p>
    <w:p w14:paraId="4D76F799">
      <w:pPr>
        <w:widowControl/>
        <w:jc w:val="left"/>
        <w:rPr>
          <w:rFonts w:ascii="Times New Roman" w:hAnsi="Times New Roman" w:eastAsia="宋体" w:cs="Times New Roman"/>
          <w:bCs/>
          <w:color w:val="000000"/>
          <w:kern w:val="0"/>
          <w:sz w:val="24"/>
          <w14:ligatures w14:val="none"/>
        </w:rPr>
      </w:pPr>
    </w:p>
    <w:p w14:paraId="38888277">
      <w:pPr>
        <w:rPr>
          <w:rFonts w:ascii="Times New Roman" w:hAnsi="Times New Roman" w:cs="Times New Roman"/>
          <w:sz w:val="24"/>
          <w:szCs w:val="24"/>
        </w:rPr>
      </w:pPr>
      <w:bookmarkStart w:id="0" w:name="OLE_LINK1"/>
      <w:r>
        <w:rPr>
          <w:rFonts w:ascii="Times New Roman" w:hAnsi="Times New Roman" w:cs="Times New Roman"/>
          <w:sz w:val="24"/>
          <w:szCs w:val="24"/>
        </w:rPr>
        <w:t xml:space="preserve">Text S1 </w:t>
      </w:r>
      <w:bookmarkEnd w:id="0"/>
      <w:r>
        <w:rPr>
          <w:rFonts w:ascii="Times New Roman" w:hAnsi="Times New Roman" w:cs="Times New Roman"/>
          <w:sz w:val="24"/>
          <w:szCs w:val="24"/>
        </w:rPr>
        <w:t>Microbial community analysis</w:t>
      </w:r>
    </w:p>
    <w:p w14:paraId="6801DD01">
      <w:pPr>
        <w:rPr>
          <w:rFonts w:ascii="Times New Roman" w:hAnsi="Times New Roman" w:cs="Times New Roman"/>
          <w:sz w:val="24"/>
          <w:szCs w:val="24"/>
        </w:rPr>
      </w:pPr>
    </w:p>
    <w:p w14:paraId="12AB7848">
      <w:pPr>
        <w:rPr>
          <w:rFonts w:ascii="Times New Roman" w:hAnsi="Times New Roman" w:cs="Times New Roman"/>
          <w:sz w:val="24"/>
          <w:szCs w:val="24"/>
        </w:rPr>
      </w:pPr>
      <w:r>
        <w:rPr>
          <w:rFonts w:hint="eastAsia" w:ascii="Times New Roman" w:hAnsi="Times New Roman" w:cs="Times New Roman"/>
          <w:sz w:val="24"/>
          <w:szCs w:val="24"/>
        </w:rPr>
        <w:t>Fig. S1. Nitrate removal at different stages.</w:t>
      </w:r>
    </w:p>
    <w:p w14:paraId="3352C3BE">
      <w:pPr>
        <w:rPr>
          <w:rFonts w:ascii="Times New Roman" w:hAnsi="Times New Roman" w:cs="Times New Roman"/>
          <w:sz w:val="24"/>
          <w:szCs w:val="24"/>
        </w:rPr>
      </w:pPr>
    </w:p>
    <w:p w14:paraId="7B15DA12">
      <w:pPr>
        <w:rPr>
          <w:rFonts w:ascii="Times New Roman" w:hAnsi="Times New Roman" w:cs="Times New Roman"/>
          <w:sz w:val="24"/>
          <w:szCs w:val="24"/>
        </w:rPr>
      </w:pPr>
      <w:r>
        <w:rPr>
          <w:rFonts w:hint="eastAsia" w:ascii="Times New Roman" w:hAnsi="Times New Roman" w:cs="Times New Roman"/>
          <w:sz w:val="24"/>
          <w:szCs w:val="24"/>
        </w:rPr>
        <w:t>Fig. S2. The changes in pH at different stages.</w:t>
      </w:r>
    </w:p>
    <w:p w14:paraId="387EF3A4">
      <w:pPr>
        <w:rPr>
          <w:rFonts w:ascii="Times New Roman" w:hAnsi="Times New Roman" w:cs="Times New Roman"/>
          <w:sz w:val="24"/>
          <w:szCs w:val="24"/>
        </w:rPr>
      </w:pPr>
    </w:p>
    <w:p w14:paraId="3B24684F">
      <w:pPr>
        <w:widowControl/>
        <w:jc w:val="left"/>
        <w:rPr>
          <w:rFonts w:ascii="Times New Roman" w:hAnsi="Times New Roman" w:cs="Times New Roman"/>
          <w:sz w:val="24"/>
          <w:szCs w:val="24"/>
        </w:rPr>
      </w:pPr>
      <w:r>
        <w:rPr>
          <w:rFonts w:hint="eastAsia" w:ascii="Times New Roman" w:hAnsi="Times New Roman" w:cs="Times New Roman"/>
          <w:sz w:val="24"/>
          <w:szCs w:val="24"/>
        </w:rPr>
        <w:t>Fig. S3. Morphology of granular sludge from different reactors.</w:t>
      </w:r>
    </w:p>
    <w:p w14:paraId="7EC261FB">
      <w:pPr>
        <w:widowControl/>
        <w:jc w:val="left"/>
        <w:rPr>
          <w:rFonts w:ascii="Times New Roman" w:hAnsi="Times New Roman" w:cs="Times New Roman"/>
          <w:sz w:val="24"/>
          <w:szCs w:val="24"/>
        </w:rPr>
      </w:pPr>
    </w:p>
    <w:p w14:paraId="67AE9235">
      <w:pPr>
        <w:widowControl/>
        <w:jc w:val="left"/>
        <w:rPr>
          <w:rFonts w:hint="eastAsia"/>
        </w:rPr>
      </w:pPr>
      <w:r>
        <w:rPr>
          <w:rFonts w:hint="eastAsia" w:ascii="Times New Roman" w:hAnsi="Times New Roman" w:cs="Times New Roman"/>
          <w:sz w:val="24"/>
          <w:szCs w:val="24"/>
        </w:rPr>
        <w:t>Fig. S4. Nonmetric Multidimensional Scaling (NMDS) at OTU level.</w:t>
      </w:r>
      <w:r>
        <w:br w:type="page"/>
      </w:r>
    </w:p>
    <w:p w14:paraId="2F2BF923">
      <w:pPr>
        <w:spacing w:line="480" w:lineRule="auto"/>
        <w:rPr>
          <w:rFonts w:ascii="Times New Roman" w:hAnsi="Times New Roman" w:cs="Times New Roman"/>
          <w:sz w:val="24"/>
          <w:szCs w:val="24"/>
        </w:rPr>
      </w:pPr>
      <w:r>
        <w:rPr>
          <w:rFonts w:ascii="Times New Roman" w:hAnsi="Times New Roman" w:cs="Times New Roman"/>
          <w:b/>
          <w:bCs/>
          <w:sz w:val="24"/>
          <w:szCs w:val="24"/>
        </w:rPr>
        <w:t>Text</w:t>
      </w:r>
      <w:r>
        <w:rPr>
          <w:rFonts w:hint="eastAsia" w:ascii="Times New Roman" w:hAnsi="Times New Roman" w:cs="Times New Roman"/>
          <w:b/>
          <w:bCs/>
          <w:sz w:val="24"/>
          <w:szCs w:val="24"/>
        </w:rPr>
        <w:t>.</w:t>
      </w:r>
      <w:r>
        <w:rPr>
          <w:rFonts w:ascii="Times New Roman" w:hAnsi="Times New Roman" w:cs="Times New Roman"/>
          <w:sz w:val="24"/>
          <w:szCs w:val="24"/>
        </w:rPr>
        <w:t xml:space="preserve"> S1</w:t>
      </w:r>
      <w:r>
        <w:rPr>
          <w:rFonts w:hint="eastAsia" w:ascii="Times New Roman" w:hAnsi="Times New Roman" w:cs="Times New Roman"/>
          <w:sz w:val="24"/>
          <w:szCs w:val="24"/>
        </w:rPr>
        <w:t>.</w:t>
      </w:r>
      <w:r>
        <w:rPr>
          <w:rFonts w:ascii="Times New Roman" w:hAnsi="Times New Roman" w:cs="Times New Roman"/>
          <w:sz w:val="24"/>
          <w:szCs w:val="24"/>
        </w:rPr>
        <w:t xml:space="preserve"> Microbial </w:t>
      </w:r>
      <w:r>
        <w:rPr>
          <w:rFonts w:hint="eastAsia" w:ascii="Times New Roman" w:hAnsi="Times New Roman" w:cs="Times New Roman"/>
          <w:sz w:val="24"/>
          <w:szCs w:val="24"/>
        </w:rPr>
        <w:t>community</w:t>
      </w:r>
      <w:r>
        <w:rPr>
          <w:rFonts w:ascii="Times New Roman" w:hAnsi="Times New Roman" w:cs="Times New Roman"/>
          <w:sz w:val="24"/>
          <w:szCs w:val="24"/>
        </w:rPr>
        <w:t xml:space="preserve"> analysis</w:t>
      </w:r>
    </w:p>
    <w:p w14:paraId="45018430">
      <w:pPr>
        <w:topLinePunct/>
        <w:snapToGrid w:val="0"/>
        <w:spacing w:line="360" w:lineRule="auto"/>
        <w:ind w:firstLine="480" w:firstLineChars="200"/>
        <w:textAlignment w:val="baseline"/>
        <w:rPr>
          <w:rFonts w:ascii="Times New Roman" w:hAnsi="Times New Roman" w:eastAsia="宋体" w:cs="Times New Roman"/>
          <w:sz w:val="24"/>
          <w:szCs w:val="24"/>
        </w:rPr>
      </w:pPr>
      <w:bookmarkStart w:id="1" w:name="OLE_LINK6"/>
      <w:bookmarkStart w:id="2" w:name="OLE_LINK48"/>
      <w:bookmarkStart w:id="3" w:name="OLE_LINK49"/>
      <w:r>
        <w:rPr>
          <w:rFonts w:ascii="Times New Roman" w:hAnsi="Times New Roman" w:cs="Times New Roman"/>
          <w:sz w:val="24"/>
          <w:szCs w:val="24"/>
        </w:rPr>
        <w:t>The V</w:t>
      </w:r>
      <w:r>
        <w:rPr>
          <w:rFonts w:hint="eastAsia" w:ascii="Times New Roman" w:hAnsi="Times New Roman" w:cs="Times New Roman"/>
          <w:sz w:val="24"/>
          <w:szCs w:val="24"/>
        </w:rPr>
        <w:t>3</w:t>
      </w:r>
      <w:r>
        <w:rPr>
          <w:rFonts w:ascii="Times New Roman" w:hAnsi="Times New Roman" w:cs="Times New Roman"/>
          <w:sz w:val="24"/>
          <w:szCs w:val="24"/>
        </w:rPr>
        <w:t>-V</w:t>
      </w:r>
      <w:r>
        <w:rPr>
          <w:rFonts w:hint="eastAsia" w:ascii="Times New Roman" w:hAnsi="Times New Roman" w:cs="Times New Roman"/>
          <w:sz w:val="24"/>
          <w:szCs w:val="24"/>
        </w:rPr>
        <w:t>4</w:t>
      </w:r>
      <w:r>
        <w:rPr>
          <w:rFonts w:ascii="Times New Roman" w:hAnsi="Times New Roman" w:cs="Times New Roman"/>
          <w:sz w:val="24"/>
          <w:szCs w:val="24"/>
        </w:rPr>
        <w:t xml:space="preserve"> region of the bacteria 16S ribosomal RNA gene were amplified by PCR（95 </w:t>
      </w:r>
      <w:r>
        <w:rPr>
          <w:rFonts w:ascii="Times New Roman" w:hAnsi="Times New Roman" w:eastAsia="宋体" w:cs="Times New Roman"/>
          <w:sz w:val="24"/>
          <w:szCs w:val="24"/>
        </w:rPr>
        <w:t>℃</w:t>
      </w:r>
      <w:r>
        <w:rPr>
          <w:rFonts w:ascii="Times New Roman" w:hAnsi="Times New Roman" w:cs="Times New Roman"/>
          <w:sz w:val="24"/>
          <w:szCs w:val="24"/>
        </w:rPr>
        <w:t xml:space="preserve"> for 3min, followed by 30 cycles at 95 </w:t>
      </w:r>
      <w:r>
        <w:rPr>
          <w:rFonts w:ascii="Times New Roman" w:hAnsi="Times New Roman" w:eastAsia="宋体" w:cs="Times New Roman"/>
          <w:sz w:val="24"/>
          <w:szCs w:val="24"/>
        </w:rPr>
        <w:t>℃</w:t>
      </w:r>
      <w:r>
        <w:rPr>
          <w:rFonts w:ascii="Times New Roman" w:hAnsi="Times New Roman" w:cs="Times New Roman"/>
          <w:sz w:val="24"/>
          <w:szCs w:val="24"/>
        </w:rPr>
        <w:t xml:space="preserve"> for 30 s, 55 </w:t>
      </w:r>
      <w:r>
        <w:rPr>
          <w:rFonts w:ascii="Times New Roman" w:hAnsi="Times New Roman" w:eastAsia="宋体" w:cs="Times New Roman"/>
          <w:sz w:val="24"/>
          <w:szCs w:val="24"/>
        </w:rPr>
        <w:t>℃</w:t>
      </w:r>
      <w:r>
        <w:rPr>
          <w:rFonts w:ascii="Times New Roman" w:hAnsi="Times New Roman" w:cs="Times New Roman"/>
          <w:sz w:val="24"/>
          <w:szCs w:val="24"/>
        </w:rPr>
        <w:t xml:space="preserve"> for 30 s, and 72 </w:t>
      </w:r>
      <w:r>
        <w:rPr>
          <w:rFonts w:ascii="Times New Roman" w:hAnsi="Times New Roman" w:eastAsia="宋体" w:cs="Times New Roman"/>
          <w:sz w:val="24"/>
          <w:szCs w:val="24"/>
        </w:rPr>
        <w:t>℃</w:t>
      </w:r>
      <w:r>
        <w:rPr>
          <w:rFonts w:ascii="Times New Roman" w:hAnsi="Times New Roman" w:cs="Times New Roman"/>
          <w:sz w:val="24"/>
          <w:szCs w:val="24"/>
        </w:rPr>
        <w:t xml:space="preserve"> for 45 s and a final extension at 72 </w:t>
      </w:r>
      <w:r>
        <w:rPr>
          <w:rFonts w:ascii="Times New Roman" w:hAnsi="Times New Roman" w:eastAsia="宋体" w:cs="Times New Roman"/>
          <w:sz w:val="24"/>
          <w:szCs w:val="24"/>
        </w:rPr>
        <w:t>℃</w:t>
      </w:r>
      <w:r>
        <w:rPr>
          <w:rFonts w:ascii="Times New Roman" w:hAnsi="Times New Roman" w:cs="Times New Roman"/>
          <w:sz w:val="24"/>
          <w:szCs w:val="24"/>
        </w:rPr>
        <w:t xml:space="preserve"> for 10 min）using primers </w:t>
      </w:r>
      <w:r>
        <w:rPr>
          <w:rFonts w:ascii="Times New Roman" w:hAnsi="Times New Roman" w:eastAsia="宋体" w:cs="Times New Roman"/>
          <w:sz w:val="24"/>
          <w:szCs w:val="24"/>
        </w:rPr>
        <w:t>515FmodF (GTGYCAGCMGCCGCGGTAA) and 806RmodR (GGACTACNVGGGTWTCTAA T)</w:t>
      </w:r>
      <w:r>
        <w:rPr>
          <w:rFonts w:ascii="Times New Roman" w:hAnsi="Times New Roman" w:cs="Times New Roman"/>
          <w:sz w:val="24"/>
          <w:szCs w:val="24"/>
        </w:rPr>
        <w:t>, where barcode is an eight-base sequence unique to each sample. PCR reactions were performed in triplicate 20</w:t>
      </w:r>
      <w:r>
        <w:rPr>
          <w:rFonts w:hint="eastAsia" w:ascii="Times New Roman" w:hAnsi="Times New Roman" w:cs="Times New Roman"/>
          <w:sz w:val="24"/>
          <w:szCs w:val="24"/>
        </w:rPr>
        <w:t xml:space="preserve"> </w:t>
      </w:r>
      <w:r>
        <w:rPr>
          <w:rFonts w:ascii="Times New Roman" w:hAnsi="Times New Roman" w:cs="Times New Roman"/>
          <w:sz w:val="24"/>
          <w:szCs w:val="24"/>
        </w:rPr>
        <w:t>μL mixture containing 4</w:t>
      </w:r>
      <w:r>
        <w:rPr>
          <w:rFonts w:hint="eastAsia" w:ascii="Times New Roman" w:hAnsi="Times New Roman" w:cs="Times New Roman"/>
          <w:sz w:val="24"/>
          <w:szCs w:val="24"/>
        </w:rPr>
        <w:t xml:space="preserve"> </w:t>
      </w:r>
      <w:r>
        <w:rPr>
          <w:rFonts w:ascii="Times New Roman" w:hAnsi="Times New Roman" w:cs="Times New Roman"/>
          <w:sz w:val="24"/>
          <w:szCs w:val="24"/>
        </w:rPr>
        <w:t xml:space="preserve">μL of 5 </w:t>
      </w:r>
      <w:bookmarkStart w:id="4" w:name="OLE_LINK121"/>
      <w:bookmarkStart w:id="5" w:name="OLE_LINK122"/>
      <w:r>
        <w:rPr>
          <w:rFonts w:ascii="Times New Roman" w:hAnsi="Times New Roman" w:cs="Times New Roman"/>
          <w:sz w:val="24"/>
          <w:szCs w:val="24"/>
        </w:rPr>
        <w:t>×</w:t>
      </w:r>
      <w:bookmarkEnd w:id="4"/>
      <w:bookmarkEnd w:id="5"/>
      <w:r>
        <w:rPr>
          <w:rFonts w:ascii="Times New Roman" w:hAnsi="Times New Roman" w:cs="Times New Roman"/>
          <w:sz w:val="24"/>
          <w:szCs w:val="24"/>
        </w:rPr>
        <w:t xml:space="preserve"> FastPfu Buffer, 2</w:t>
      </w:r>
      <w:r>
        <w:rPr>
          <w:rFonts w:hint="eastAsia" w:ascii="Times New Roman" w:hAnsi="Times New Roman" w:cs="Times New Roman"/>
          <w:sz w:val="24"/>
          <w:szCs w:val="24"/>
        </w:rPr>
        <w:t xml:space="preserve"> </w:t>
      </w:r>
      <w:r>
        <w:rPr>
          <w:rFonts w:ascii="Times New Roman" w:hAnsi="Times New Roman" w:cs="Times New Roman"/>
          <w:sz w:val="24"/>
          <w:szCs w:val="24"/>
        </w:rPr>
        <w:t>μL of 2.5</w:t>
      </w:r>
      <w:r>
        <w:rPr>
          <w:rFonts w:hint="eastAsia" w:ascii="Times New Roman" w:hAnsi="Times New Roman" w:cs="Times New Roman"/>
          <w:sz w:val="24"/>
          <w:szCs w:val="24"/>
        </w:rPr>
        <w:t xml:space="preserve"> </w:t>
      </w:r>
      <w:r>
        <w:rPr>
          <w:rFonts w:ascii="Times New Roman" w:hAnsi="Times New Roman" w:cs="Times New Roman"/>
          <w:sz w:val="24"/>
          <w:szCs w:val="24"/>
        </w:rPr>
        <w:t>mM dNTPs, 0.8 μL of each primer (5 μM), 0.4 μL of FastPfu Polymerase, and 10 ng of template DNA.</w:t>
      </w:r>
      <w:r>
        <w:rPr>
          <w:rFonts w:hint="eastAsia" w:ascii="Times New Roman" w:hAnsi="Times New Roman" w:cs="Times New Roman"/>
          <w:sz w:val="24"/>
          <w:szCs w:val="24"/>
        </w:rPr>
        <w:t xml:space="preserve"> </w:t>
      </w:r>
      <w:bookmarkEnd w:id="1"/>
      <w:r>
        <w:rPr>
          <w:rFonts w:ascii="Times New Roman" w:hAnsi="Times New Roman" w:cs="Times New Roman"/>
          <w:sz w:val="24"/>
          <w:szCs w:val="24"/>
        </w:rPr>
        <w:t xml:space="preserve">Amplicons were extracted from 2% agarose gels and purified using the </w:t>
      </w:r>
      <w:bookmarkStart w:id="6" w:name="OLE_LINK47"/>
      <w:bookmarkStart w:id="7" w:name="OLE_LINK46"/>
      <w:r>
        <w:rPr>
          <w:rFonts w:ascii="Times New Roman" w:hAnsi="Times New Roman" w:cs="Times New Roman"/>
          <w:sz w:val="24"/>
          <w:szCs w:val="24"/>
        </w:rPr>
        <w:t>AxyPrep DNA Gel Extraction Kit (Axygen Biosciences, Union City, CA, U.S.)</w:t>
      </w:r>
      <w:bookmarkEnd w:id="6"/>
      <w:bookmarkEnd w:id="7"/>
      <w:r>
        <w:rPr>
          <w:rFonts w:ascii="Times New Roman" w:hAnsi="Times New Roman" w:cs="Times New Roman"/>
          <w:sz w:val="24"/>
          <w:szCs w:val="24"/>
        </w:rPr>
        <w:t xml:space="preserve"> according to the manufacturer’s instructions and quantified using QuantiFluor™ -ST (Promega, U.S.). Purified amplicons were pooled in equimolar and paired-end sequenced (2 × 250) on an Illumina MiSeq platform</w:t>
      </w:r>
      <w:bookmarkEnd w:id="2"/>
      <w:bookmarkEnd w:id="3"/>
      <w:r>
        <w:rPr>
          <w:rFonts w:ascii="Times New Roman" w:hAnsi="Times New Roman" w:cs="Times New Roman"/>
          <w:sz w:val="24"/>
          <w:szCs w:val="24"/>
        </w:rPr>
        <w:t xml:space="preserve"> according to the standard protocols.</w:t>
      </w:r>
    </w:p>
    <w:p w14:paraId="6639026C">
      <w:pPr>
        <w:snapToGrid w:val="0"/>
        <w:spacing w:line="360" w:lineRule="auto"/>
        <w:ind w:firstLine="480" w:firstLineChars="200"/>
        <w:textAlignment w:val="baseline"/>
        <w:rPr>
          <w:rFonts w:ascii="Times New Roman" w:hAnsi="Times New Roman" w:cs="Times New Roman"/>
          <w:sz w:val="24"/>
          <w:szCs w:val="24"/>
        </w:rPr>
      </w:pPr>
      <w:r>
        <w:rPr>
          <w:rFonts w:ascii="Times New Roman" w:hAnsi="Times New Roman" w:cs="Times New Roman"/>
          <w:sz w:val="24"/>
          <w:szCs w:val="24"/>
        </w:rPr>
        <w:t xml:space="preserve">Raw fastq files were demultiplexed, quality-filtered using QIIME (version 1.17) with the following criteria: (i) The 300 bp reads were truncated at any site receiving an average quality score &lt;20 over a 50 bp sliding window, discarding the truncated reads that were shorter than 50bp. (ii) exact barcode matching, 2 nucleotide mismatch in primer matching, reads containing ambiguous characters were removed. (iii) only sequences that overlap longer than 10 bp were assembled according to their overlap sequence. Reads which could not be assembled were discarded. Operational Units (OTUs) were clustered with 97% similarity cutoff using UPARSE（version 7.1 </w:t>
      </w:r>
      <w:r>
        <w:fldChar w:fldCharType="begin"/>
      </w:r>
      <w:r>
        <w:instrText xml:space="preserve"> HYPERLINK "http://drive5.com/uparse/" </w:instrText>
      </w:r>
      <w:r>
        <w:fldChar w:fldCharType="separate"/>
      </w:r>
      <w:r>
        <w:rPr>
          <w:rFonts w:ascii="Times New Roman" w:hAnsi="Times New Roman" w:cs="Times New Roman"/>
          <w:sz w:val="24"/>
          <w:szCs w:val="24"/>
        </w:rPr>
        <w:t>http://drive5.com/uparse/</w:t>
      </w:r>
      <w:r>
        <w:rPr>
          <w:rFonts w:ascii="Times New Roman" w:hAnsi="Times New Roman" w:cs="Times New Roman"/>
          <w:sz w:val="24"/>
          <w:szCs w:val="24"/>
        </w:rPr>
        <w:fldChar w:fldCharType="end"/>
      </w:r>
      <w:r>
        <w:rPr>
          <w:rFonts w:ascii="Times New Roman" w:hAnsi="Times New Roman" w:cs="Times New Roman"/>
          <w:sz w:val="24"/>
          <w:szCs w:val="24"/>
        </w:rPr>
        <w:t>) and chimeric sequences were identified and removed using UCHIME. The taxonomy of each 16S rRNA gene sequence was analyzed by RDP Classifier (http://rdp.cme.msu.edu/) against the silva (SSU115)16S rRNA database using confidence threshold of 70%</w:t>
      </w:r>
      <w:r>
        <w:rPr>
          <w:rFonts w:hint="eastAsia" w:ascii="Times New Roman" w:hAnsi="Times New Roman" w:cs="Times New Roman"/>
          <w:sz w:val="24"/>
          <w:szCs w:val="24"/>
        </w:rPr>
        <w:t xml:space="preserve"> </w:t>
      </w:r>
      <w:r>
        <w:rPr>
          <w:rFonts w:ascii="Times New Roman" w:hAnsi="Times New Roman" w:cs="Times New Roman"/>
          <w:sz w:val="24"/>
          <w:szCs w:val="24"/>
        </w:rPr>
        <w:t xml:space="preserve">(Amato et al., 2013). </w:t>
      </w:r>
    </w:p>
    <w:p w14:paraId="341ED309">
      <w:pPr>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The PICRUSt2 tool (http://huttenhower.sph.harvard.edu/galaxy) was employed to align the ASV sequences with their respective internal reference sequences, integrate the ASVs into the corresponding reference phylogenetic tree, estimate the copy number for each ASV gene family, predict the gene content for each ASV, and quantify the abundance of each gene family across the samples.</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The gene family data were compared against the KEGG database (Kyoto Encyclopedia of Genes and Genomes, http://www.genome.jp/kegg/) to derive the functional and abundance profiles for each sample.</w:t>
      </w:r>
    </w:p>
    <w:p w14:paraId="1D92C608">
      <w:pPr>
        <w:widowControl/>
        <w:spacing w:line="480" w:lineRule="auto"/>
        <w:ind w:firstLine="480" w:firstLineChars="200"/>
        <w:jc w:val="left"/>
        <w:rPr>
          <w:rFonts w:ascii="Times New Roman" w:hAnsi="Times New Roman" w:eastAsia="宋体" w:cs="Times New Roman"/>
          <w:sz w:val="24"/>
          <w:szCs w:val="24"/>
        </w:rPr>
      </w:pPr>
    </w:p>
    <w:p w14:paraId="22C3D881">
      <w:pPr>
        <w:snapToGrid w:val="0"/>
        <w:spacing w:line="360" w:lineRule="auto"/>
        <w:textAlignment w:val="baseline"/>
        <w:rPr>
          <w:rFonts w:ascii="Times New Roman" w:hAnsi="Times New Roman" w:cs="Times New Roman"/>
          <w:b/>
          <w:bCs/>
          <w:sz w:val="24"/>
          <w:szCs w:val="24"/>
        </w:rPr>
      </w:pPr>
      <w:r>
        <w:rPr>
          <w:rFonts w:hint="eastAsia" w:ascii="Times New Roman" w:hAnsi="Times New Roman" w:cs="Times New Roman"/>
          <w:b/>
          <w:bCs/>
          <w:sz w:val="24"/>
          <w:szCs w:val="24"/>
        </w:rPr>
        <w:t>Reference</w:t>
      </w:r>
    </w:p>
    <w:p w14:paraId="45A167CE">
      <w:pPr>
        <w:adjustRightInd w:val="0"/>
        <w:snapToGrid w:val="0"/>
        <w:spacing w:line="360" w:lineRule="auto"/>
        <w:ind w:left="480" w:hanging="480" w:hanging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Amato, K.R., Yeoman, C.J., Kent, A., Righini, N., Carbonero, F., Estrada, A., Rex Gaskins, H., Stumpf, R.M., Yildirim, S., Torralba, M., Gillis, M., Wilson, B.A., Nelson, K.E., White, B.A., Leigh, S.R. 2013. Habitat degradation impacts black howler monkey (Alouatta pigra) gastrointestinal microbiomes. The ISME Journal, 7(7), 1344-1353.</w:t>
      </w:r>
    </w:p>
    <w:p w14:paraId="2A298598">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66F212CB">
      <w:pPr>
        <w:widowControl/>
        <w:rPr>
          <w:rFonts w:hint="eastAsia"/>
        </w:rPr>
      </w:pPr>
      <w:bookmarkStart w:id="8" w:name="_Hlk202821678"/>
      <w:r>
        <w:rPr>
          <w:rFonts w:hint="eastAsia"/>
        </w:rPr>
        <w:object>
          <v:shape id="_x0000_i1025" o:spt="75" type="#_x0000_t75" style="height:193.2pt;width:435.9pt;" o:ole="t" filled="f" o:preferrelative="t" stroked="f" coordsize="21600,21600">
            <v:path/>
            <v:fill on="f" focussize="0,0"/>
            <v:stroke on="f" joinstyle="miter"/>
            <v:imagedata r:id="rId5" o:title=""/>
            <o:lock v:ext="edit" aspectratio="t"/>
            <w10:wrap type="none"/>
            <w10:anchorlock/>
          </v:shape>
          <o:OLEObject Type="Embed" ProgID="Origin95.Graph" ShapeID="_x0000_i1025" DrawAspect="Content" ObjectID="_1468075725" r:id="rId4">
            <o:LockedField>false</o:LockedField>
          </o:OLEObject>
        </w:object>
      </w:r>
    </w:p>
    <w:p w14:paraId="5AF83924">
      <w:pPr>
        <w:snapToGrid w:val="0"/>
        <w:spacing w:line="360" w:lineRule="auto"/>
        <w:jc w:val="center"/>
        <w:textAlignment w:val="baseline"/>
        <w:rPr>
          <w:rFonts w:ascii="Times New Roman" w:hAnsi="Times New Roman" w:cs="Times New Roman"/>
          <w:color w:val="000000" w:themeColor="text1"/>
          <w:sz w:val="24"/>
          <w:szCs w:val="24"/>
          <w14:textFill>
            <w14:solidFill>
              <w14:schemeClr w14:val="tx1"/>
            </w14:solidFill>
          </w14:textFill>
        </w:rPr>
      </w:pPr>
      <w:bookmarkStart w:id="9" w:name="_Hlk203571756"/>
      <w:r>
        <w:rPr>
          <w:rFonts w:ascii="Times New Roman" w:hAnsi="Times New Roman" w:cs="Times New Roman"/>
          <w:color w:val="000000" w:themeColor="text1"/>
          <w:sz w:val="24"/>
          <w:szCs w:val="24"/>
          <w14:textFill>
            <w14:solidFill>
              <w14:schemeClr w14:val="tx1"/>
            </w14:solidFill>
          </w14:textFill>
        </w:rPr>
        <w:t>Fig.</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S1. </w:t>
      </w:r>
      <w:r>
        <w:rPr>
          <w:rFonts w:hint="eastAsia" w:ascii="Times New Roman" w:hAnsi="Times New Roman" w:cs="Times New Roman"/>
          <w:color w:val="000000" w:themeColor="text1"/>
          <w:sz w:val="24"/>
          <w:szCs w:val="24"/>
          <w14:textFill>
            <w14:solidFill>
              <w14:schemeClr w14:val="tx1"/>
            </w14:solidFill>
          </w14:textFill>
        </w:rPr>
        <w:t>Nitrate removal at different stages.</w:t>
      </w:r>
    </w:p>
    <w:bookmarkEnd w:id="8"/>
    <w:bookmarkEnd w:id="9"/>
    <w:p w14:paraId="783316A2">
      <w:pPr>
        <w:widowControl/>
        <w:jc w:val="left"/>
        <w:rPr>
          <w:rFonts w:hint="eastAsia"/>
        </w:rPr>
      </w:pPr>
    </w:p>
    <w:p w14:paraId="74E373DB">
      <w:pPr>
        <w:widowControl/>
        <w:jc w:val="left"/>
        <w:rPr>
          <w:rFonts w:hint="eastAsia"/>
        </w:rPr>
      </w:pPr>
      <w:r>
        <w:rPr>
          <w:rFonts w:hint="eastAsia"/>
        </w:rPr>
        <w:br w:type="page"/>
      </w:r>
    </w:p>
    <w:p w14:paraId="4A9AC416">
      <w:pPr>
        <w:widowControl/>
        <w:jc w:val="left"/>
        <w:rPr>
          <w:rFonts w:hint="eastAsia"/>
        </w:rPr>
      </w:pPr>
      <w:bookmarkStart w:id="10" w:name="OLE_LINK2"/>
      <w:bookmarkStart w:id="11" w:name="OLE_LINK23"/>
      <w:r>
        <w:rPr>
          <w:rFonts w:hint="eastAsia"/>
        </w:rPr>
        <w:object>
          <v:shape id="_x0000_i1026" o:spt="75" type="#_x0000_t75" style="height:174.65pt;width:397.05pt;" o:ole="t" filled="f" o:preferrelative="t" stroked="f" coordsize="21600,21600">
            <v:path/>
            <v:fill on="f" focussize="0,0"/>
            <v:stroke on="f" joinstyle="miter"/>
            <v:imagedata r:id="rId7" o:title=""/>
            <o:lock v:ext="edit" aspectratio="t"/>
            <w10:wrap type="none"/>
            <w10:anchorlock/>
          </v:shape>
          <o:OLEObject Type="Embed" ProgID="Origin95.Graph" ShapeID="_x0000_i1026" DrawAspect="Content" ObjectID="_1468075726" r:id="rId6">
            <o:LockedField>false</o:LockedField>
          </o:OLEObject>
        </w:object>
      </w:r>
      <w:bookmarkEnd w:id="10"/>
    </w:p>
    <w:p w14:paraId="69AB9BEF">
      <w:pPr>
        <w:snapToGrid w:val="0"/>
        <w:spacing w:line="360" w:lineRule="auto"/>
        <w:jc w:val="center"/>
        <w:textAlignment w:val="baseline"/>
        <w:rPr>
          <w:rFonts w:ascii="Times New Roman" w:hAnsi="Times New Roman" w:cs="Times New Roman"/>
          <w:color w:val="000000" w:themeColor="text1"/>
          <w:sz w:val="24"/>
          <w:szCs w:val="24"/>
          <w14:textFill>
            <w14:solidFill>
              <w14:schemeClr w14:val="tx1"/>
            </w14:solidFill>
          </w14:textFill>
        </w:rPr>
      </w:pPr>
      <w:bookmarkStart w:id="12" w:name="OLE_LINK30"/>
      <w:r>
        <w:rPr>
          <w:rFonts w:ascii="Times New Roman" w:hAnsi="Times New Roman" w:cs="Times New Roman"/>
          <w:color w:val="000000" w:themeColor="text1"/>
          <w:sz w:val="24"/>
          <w:szCs w:val="24"/>
          <w14:textFill>
            <w14:solidFill>
              <w14:schemeClr w14:val="tx1"/>
            </w14:solidFill>
          </w14:textFill>
        </w:rPr>
        <w:t>Fig.</w:t>
      </w:r>
      <w:r>
        <w:rPr>
          <w:rFonts w:hint="eastAsia"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S</w:t>
      </w:r>
      <w:r>
        <w:rPr>
          <w:rFonts w:hint="eastAsia" w:ascii="Times New Roman" w:hAnsi="Times New Roman" w:cs="Times New Roman"/>
          <w:color w:val="000000" w:themeColor="text1"/>
          <w:sz w:val="24"/>
          <w:szCs w:val="24"/>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t xml:space="preserve">. </w:t>
      </w:r>
      <w:r>
        <w:rPr>
          <w:rFonts w:hint="eastAsia" w:ascii="Times New Roman" w:hAnsi="Times New Roman" w:cs="Times New Roman"/>
          <w:color w:val="000000" w:themeColor="text1"/>
          <w:sz w:val="24"/>
          <w:szCs w:val="24"/>
          <w14:textFill>
            <w14:solidFill>
              <w14:schemeClr w14:val="tx1"/>
            </w14:solidFill>
          </w14:textFill>
        </w:rPr>
        <w:t>The changes in pH at different stages.</w:t>
      </w:r>
    </w:p>
    <w:bookmarkEnd w:id="11"/>
    <w:bookmarkEnd w:id="12"/>
    <w:p w14:paraId="29208AC6">
      <w:pPr>
        <w:widowControl/>
        <w:jc w:val="left"/>
        <w:rPr>
          <w:rFonts w:hint="eastAsia"/>
        </w:rPr>
      </w:pPr>
      <w:r>
        <w:rPr>
          <w:rFonts w:hint="eastAsia"/>
        </w:rPr>
        <w:br w:type="page"/>
      </w:r>
    </w:p>
    <w:p w14:paraId="29F9E7D3">
      <w:pPr>
        <w:widowControl/>
        <w:jc w:val="left"/>
        <w:rPr>
          <w:rFonts w:hint="eastAsia"/>
        </w:rPr>
      </w:pPr>
      <w:r>
        <w:drawing>
          <wp:inline distT="0" distB="0" distL="0" distR="0">
            <wp:extent cx="5267325" cy="1323975"/>
            <wp:effectExtent l="0" t="0" r="9525" b="0"/>
            <wp:docPr id="957609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999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7325" cy="1323975"/>
                    </a:xfrm>
                    <a:prstGeom prst="rect">
                      <a:avLst/>
                    </a:prstGeom>
                    <a:noFill/>
                    <a:ln>
                      <a:noFill/>
                    </a:ln>
                  </pic:spPr>
                </pic:pic>
              </a:graphicData>
            </a:graphic>
          </wp:inline>
        </w:drawing>
      </w:r>
    </w:p>
    <w:p w14:paraId="733F5C08">
      <w:pPr>
        <w:snapToGrid w:val="0"/>
        <w:spacing w:line="360" w:lineRule="auto"/>
        <w:jc w:val="center"/>
        <w:textAlignment w:val="baseline"/>
        <w:rPr>
          <w:rFonts w:ascii="Times New Roman" w:hAnsi="Times New Roman" w:cs="Times New Roman"/>
          <w:sz w:val="24"/>
          <w:szCs w:val="24"/>
        </w:rPr>
      </w:pPr>
      <w:bookmarkStart w:id="13" w:name="OLE_LINK3"/>
      <w:r>
        <w:rPr>
          <w:rFonts w:ascii="Times New Roman" w:hAnsi="Times New Roman" w:cs="Times New Roman"/>
          <w:sz w:val="24"/>
          <w:szCs w:val="24"/>
        </w:rPr>
        <w:t>Fig.</w:t>
      </w:r>
      <w:r>
        <w:rPr>
          <w:rFonts w:hint="eastAsia" w:ascii="Times New Roman" w:hAnsi="Times New Roman" w:cs="Times New Roman"/>
          <w:sz w:val="24"/>
          <w:szCs w:val="24"/>
        </w:rPr>
        <w:t xml:space="preserve"> </w:t>
      </w:r>
      <w:r>
        <w:rPr>
          <w:rFonts w:ascii="Times New Roman" w:hAnsi="Times New Roman" w:cs="Times New Roman"/>
          <w:sz w:val="24"/>
          <w:szCs w:val="24"/>
        </w:rPr>
        <w:t>S</w:t>
      </w:r>
      <w:r>
        <w:rPr>
          <w:rFonts w:hint="eastAsia" w:ascii="Times New Roman" w:hAnsi="Times New Roman" w:cs="Times New Roman"/>
          <w:sz w:val="24"/>
          <w:szCs w:val="24"/>
        </w:rPr>
        <w:t>3</w:t>
      </w:r>
      <w:r>
        <w:rPr>
          <w:rFonts w:ascii="Times New Roman" w:hAnsi="Times New Roman" w:cs="Times New Roman"/>
          <w:sz w:val="24"/>
          <w:szCs w:val="24"/>
        </w:rPr>
        <w:t>. Morphology of granular sludge from different reactors</w:t>
      </w:r>
      <w:r>
        <w:rPr>
          <w:rFonts w:hint="eastAsia" w:ascii="Times New Roman" w:hAnsi="Times New Roman" w:cs="Times New Roman"/>
          <w:sz w:val="24"/>
          <w:szCs w:val="24"/>
        </w:rPr>
        <w:t>.</w:t>
      </w:r>
    </w:p>
    <w:bookmarkEnd w:id="13"/>
    <w:p w14:paraId="60BAA750">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73B188CB">
      <w:pPr>
        <w:widowControl/>
        <w:jc w:val="center"/>
        <w:rPr>
          <w:rFonts w:hint="eastAsia"/>
        </w:rPr>
      </w:pPr>
      <w:r>
        <w:rPr>
          <w:rFonts w:hint="eastAsia"/>
        </w:rPr>
        <w:drawing>
          <wp:inline distT="0" distB="0" distL="0" distR="0">
            <wp:extent cx="2637790" cy="2631440"/>
            <wp:effectExtent l="0" t="0" r="0" b="0"/>
            <wp:docPr id="146056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7838"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49167" cy="2643099"/>
                    </a:xfrm>
                    <a:prstGeom prst="rect">
                      <a:avLst/>
                    </a:prstGeom>
                    <a:noFill/>
                    <a:ln>
                      <a:noFill/>
                    </a:ln>
                  </pic:spPr>
                </pic:pic>
              </a:graphicData>
            </a:graphic>
          </wp:inline>
        </w:drawing>
      </w:r>
    </w:p>
    <w:p w14:paraId="7CD9C0B0">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rPr>
        <w:t>Fig.</w:t>
      </w:r>
      <w:r>
        <w:rPr>
          <w:rFonts w:hint="eastAsia" w:ascii="Times New Roman" w:hAnsi="Times New Roman" w:cs="Times New Roman"/>
          <w:sz w:val="24"/>
          <w:szCs w:val="24"/>
        </w:rPr>
        <w:t xml:space="preserve"> </w:t>
      </w:r>
      <w:r>
        <w:rPr>
          <w:rFonts w:ascii="Times New Roman" w:hAnsi="Times New Roman" w:cs="Times New Roman"/>
          <w:sz w:val="24"/>
          <w:szCs w:val="24"/>
        </w:rPr>
        <w:t>S</w:t>
      </w:r>
      <w:r>
        <w:rPr>
          <w:rFonts w:hint="eastAsia" w:ascii="Times New Roman" w:hAnsi="Times New Roman" w:cs="Times New Roman"/>
          <w:sz w:val="24"/>
          <w:szCs w:val="24"/>
        </w:rPr>
        <w:t>4</w:t>
      </w:r>
      <w:r>
        <w:rPr>
          <w:rFonts w:ascii="Times New Roman" w:hAnsi="Times New Roman" w:cs="Times New Roman"/>
          <w:sz w:val="24"/>
          <w:szCs w:val="24"/>
        </w:rPr>
        <w:t xml:space="preserve">. </w:t>
      </w:r>
      <w:bookmarkStart w:id="14" w:name="_Hlk201264162"/>
      <w:r>
        <w:rPr>
          <w:rFonts w:hint="eastAsia" w:ascii="Times New Roman" w:hAnsi="Times New Roman" w:cs="Times New Roman"/>
          <w:sz w:val="24"/>
          <w:szCs w:val="24"/>
        </w:rPr>
        <w:t>Nonmetric Multidimensional Scaling</w:t>
      </w:r>
      <w:bookmarkEnd w:id="14"/>
      <w:r>
        <w:rPr>
          <w:rFonts w:hint="eastAsia" w:ascii="Times New Roman" w:hAnsi="Times New Roman" w:cs="Times New Roman"/>
          <w:sz w:val="24"/>
          <w:szCs w:val="24"/>
        </w:rPr>
        <w:t xml:space="preserve"> (NMDS) at OTU level.</w:t>
      </w:r>
    </w:p>
    <w:p w14:paraId="48C22456">
      <w:pPr>
        <w:widowControl/>
        <w:jc w:val="center"/>
        <w:rPr>
          <w:rFonts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CE00266D-FE54-4A2C-A0DF-27B72D6ECCC1}"/>
  </w:font>
  <w:font w:name="仿宋">
    <w:panose1 w:val="02010609060101010101"/>
    <w:charset w:val="86"/>
    <w:family w:val="modern"/>
    <w:pitch w:val="default"/>
    <w:sig w:usb0="800002BF" w:usb1="38CF7CFA" w:usb2="00000016" w:usb3="00000000" w:csb0="00040001" w:csb1="00000000"/>
    <w:embedRegular r:id="rId2" w:fontKey="{4E3F6420-3B14-4CA5-BA6A-FB6414D629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35165B"/>
    <w:rsid w:val="000176BD"/>
    <w:rsid w:val="000210E0"/>
    <w:rsid w:val="000A5294"/>
    <w:rsid w:val="000C2D29"/>
    <w:rsid w:val="000E1C3E"/>
    <w:rsid w:val="000E2021"/>
    <w:rsid w:val="000E7745"/>
    <w:rsid w:val="000F2A83"/>
    <w:rsid w:val="00111060"/>
    <w:rsid w:val="00126118"/>
    <w:rsid w:val="00127FB2"/>
    <w:rsid w:val="0014266D"/>
    <w:rsid w:val="001A79F2"/>
    <w:rsid w:val="001D003F"/>
    <w:rsid w:val="001E5E21"/>
    <w:rsid w:val="00203A3E"/>
    <w:rsid w:val="00242253"/>
    <w:rsid w:val="002C0AAF"/>
    <w:rsid w:val="002C229D"/>
    <w:rsid w:val="002F2451"/>
    <w:rsid w:val="0035165B"/>
    <w:rsid w:val="003624D2"/>
    <w:rsid w:val="00363CFA"/>
    <w:rsid w:val="00412596"/>
    <w:rsid w:val="004767ED"/>
    <w:rsid w:val="00481C24"/>
    <w:rsid w:val="004E19E5"/>
    <w:rsid w:val="004F7994"/>
    <w:rsid w:val="00502E03"/>
    <w:rsid w:val="00544D32"/>
    <w:rsid w:val="00567891"/>
    <w:rsid w:val="005C5119"/>
    <w:rsid w:val="005D047F"/>
    <w:rsid w:val="005F2C91"/>
    <w:rsid w:val="00625D63"/>
    <w:rsid w:val="00653361"/>
    <w:rsid w:val="006A4677"/>
    <w:rsid w:val="006C1ABB"/>
    <w:rsid w:val="00756D82"/>
    <w:rsid w:val="007D47FB"/>
    <w:rsid w:val="008432A5"/>
    <w:rsid w:val="00857391"/>
    <w:rsid w:val="008631F3"/>
    <w:rsid w:val="00864171"/>
    <w:rsid w:val="00864F8D"/>
    <w:rsid w:val="008B0DCA"/>
    <w:rsid w:val="008C6A77"/>
    <w:rsid w:val="00960F02"/>
    <w:rsid w:val="00A00AE7"/>
    <w:rsid w:val="00A656B4"/>
    <w:rsid w:val="00A73F65"/>
    <w:rsid w:val="00AE65C5"/>
    <w:rsid w:val="00B047C9"/>
    <w:rsid w:val="00B108E6"/>
    <w:rsid w:val="00B24BEB"/>
    <w:rsid w:val="00C17C59"/>
    <w:rsid w:val="00C246C1"/>
    <w:rsid w:val="00D7343B"/>
    <w:rsid w:val="00E41E42"/>
    <w:rsid w:val="00E56A1A"/>
    <w:rsid w:val="00E61E07"/>
    <w:rsid w:val="00F043B0"/>
    <w:rsid w:val="00F14104"/>
    <w:rsid w:val="00F33646"/>
    <w:rsid w:val="00F82ACB"/>
    <w:rsid w:val="00F930B0"/>
    <w:rsid w:val="397A0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endnote text"/>
    <w:basedOn w:val="1"/>
    <w:link w:val="12"/>
    <w:semiHidden/>
    <w:unhideWhenUsed/>
    <w:uiPriority w:val="99"/>
    <w:pPr>
      <w:snapToGrid w:val="0"/>
      <w:jc w:val="left"/>
    </w:p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tabs>
        <w:tab w:val="center" w:pos="4153"/>
        <w:tab w:val="right" w:pos="8306"/>
      </w:tabs>
      <w:snapToGrid w:val="0"/>
      <w:jc w:val="center"/>
    </w:pPr>
    <w:rPr>
      <w:sz w:val="18"/>
      <w:szCs w:val="18"/>
    </w:rPr>
  </w:style>
  <w:style w:type="table" w:styleId="6">
    <w:name w:val="Table Grid"/>
    <w:basedOn w:val="5"/>
    <w:autoRedefine/>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uiPriority w:val="99"/>
    <w:rPr>
      <w:vertAlign w:val="superscript"/>
    </w:rPr>
  </w:style>
  <w:style w:type="character" w:styleId="9">
    <w:name w:val="Hyperlink"/>
    <w:basedOn w:val="7"/>
    <w:unhideWhenUsed/>
    <w:uiPriority w:val="99"/>
    <w:rPr>
      <w:color w:val="0563C1" w:themeColor="hyperlink"/>
      <w:u w:val="single"/>
      <w14:textFill>
        <w14:solidFill>
          <w14:schemeClr w14:val="hlink"/>
        </w14:solidFill>
      </w14:textFill>
    </w:rPr>
  </w:style>
  <w:style w:type="character" w:customStyle="1" w:styleId="10">
    <w:name w:val="页眉 字符"/>
    <w:basedOn w:val="7"/>
    <w:link w:val="4"/>
    <w:uiPriority w:val="99"/>
    <w:rPr>
      <w:sz w:val="18"/>
      <w:szCs w:val="18"/>
    </w:rPr>
  </w:style>
  <w:style w:type="character" w:customStyle="1" w:styleId="11">
    <w:name w:val="页脚 字符"/>
    <w:basedOn w:val="7"/>
    <w:link w:val="3"/>
    <w:uiPriority w:val="99"/>
    <w:rPr>
      <w:sz w:val="18"/>
      <w:szCs w:val="18"/>
    </w:rPr>
  </w:style>
  <w:style w:type="character" w:customStyle="1" w:styleId="12">
    <w:name w:val="尾注文本 字符"/>
    <w:basedOn w:val="7"/>
    <w:link w:val="2"/>
    <w:semiHidden/>
    <w:uiPriority w:val="99"/>
  </w:style>
  <w:style w:type="character" w:customStyle="1" w:styleId="13">
    <w:name w:val="Unresolved Mention"/>
    <w:basedOn w:val="7"/>
    <w:semiHidden/>
    <w:unhideWhenUsed/>
    <w:uiPriority w:val="99"/>
    <w:rPr>
      <w:color w:val="605E5C"/>
      <w:shd w:val="clear" w:color="auto" w:fill="E1DFDD"/>
    </w:rPr>
  </w:style>
  <w:style w:type="paragraph" w:customStyle="1" w:styleId="14">
    <w:name w:val="EndNote Bibliography Title"/>
    <w:basedOn w:val="1"/>
    <w:link w:val="15"/>
    <w:uiPriority w:val="0"/>
    <w:pPr>
      <w:jc w:val="center"/>
    </w:pPr>
    <w:rPr>
      <w:rFonts w:ascii="等线" w:hAnsi="等线" w:eastAsia="等线"/>
      <w:sz w:val="20"/>
    </w:rPr>
  </w:style>
  <w:style w:type="character" w:customStyle="1" w:styleId="15">
    <w:name w:val="EndNote Bibliography Title 字符"/>
    <w:basedOn w:val="7"/>
    <w:link w:val="14"/>
    <w:uiPriority w:val="0"/>
    <w:rPr>
      <w:rFonts w:ascii="等线" w:hAnsi="等线" w:eastAsia="等线"/>
      <w:sz w:val="20"/>
    </w:rPr>
  </w:style>
  <w:style w:type="paragraph" w:customStyle="1" w:styleId="16">
    <w:name w:val="EndNote Bibliography"/>
    <w:basedOn w:val="1"/>
    <w:link w:val="17"/>
    <w:uiPriority w:val="0"/>
    <w:pPr>
      <w:jc w:val="center"/>
    </w:pPr>
    <w:rPr>
      <w:rFonts w:ascii="等线" w:hAnsi="等线" w:eastAsia="等线"/>
      <w:sz w:val="20"/>
    </w:rPr>
  </w:style>
  <w:style w:type="character" w:customStyle="1" w:styleId="17">
    <w:name w:val="EndNote Bibliography 字符"/>
    <w:basedOn w:val="7"/>
    <w:link w:val="16"/>
    <w:uiPriority w:val="0"/>
    <w:rPr>
      <w:rFonts w:ascii="等线" w:hAnsi="等线" w:eastAsia="等线"/>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512</Words>
  <Characters>2863</Characters>
  <Lines>24</Lines>
  <Paragraphs>6</Paragraphs>
  <TotalTime>154</TotalTime>
  <ScaleCrop>false</ScaleCrop>
  <LinksUpToDate>false</LinksUpToDate>
  <CharactersWithSpaces>3354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2024-12-25T05:31:00Z</dcterms:created>
  <dc:creator>GDUPT</dc:creator>
  <cp:lastModifiedBy>朱可亮</cp:lastModifiedBy>
  <dcterms:modified xsi:type="dcterms:W3CDTF">2026-10-22T06:17:23Z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2b649020-1cdb-45dc-ac2e-b2648b6053d1</vt:lpwstr>
  </property>
  <property fmtid="{D5CDD505-2E9C-101B-9397-08002B2CF9AE}" pid="3" name="KSOTemplateDocerSaveRecord">
    <vt:lpwstr>eyJoZGlkIjoiOTk2MjQyNGNhMGJjNjE3YzQyYmNkYjhiNzM3MTI2NjQiLCJ1c2VySWQiOiIxNDg1MzYzOTk3In0=</vt:lpwstr>
  </property>
  <property fmtid="{D5CDD505-2E9C-101B-9397-08002B2CF9AE}" pid="4" name="KSOProductBuildVer">
    <vt:lpwstr>2052-12.1.0.28043</vt:lpwstr>
  </property>
  <property fmtid="{D5CDD505-2E9C-101B-9397-08002B2CF9AE}" pid="5" name="ICV">
    <vt:lpwstr>A6224ED145EF4967AF9B19557DDF094B_12</vt:lpwstr>
  </property>
</Properties>
</file>