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876F2">
      <w:pPr>
        <w:spacing w:line="48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宋体" w:cs="Times New Roman"/>
          <w:b/>
          <w:i/>
          <w:sz w:val="24"/>
          <w:szCs w:val="24"/>
        </w:rPr>
        <w:t>Supplementary Information for</w:t>
      </w:r>
    </w:p>
    <w:p w14:paraId="41827063">
      <w:pPr>
        <w:suppressLineNumbers/>
        <w:autoSpaceDE w:val="0"/>
        <w:autoSpaceDN w:val="0"/>
        <w:adjustRightInd w:val="0"/>
        <w:spacing w:line="480" w:lineRule="auto"/>
        <w:ind w:firstLine="0" w:firstLineChars="0"/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bidi="ar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bidi="ar"/>
        </w:rPr>
        <w:t>Air nanobubble simultaneously enhance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>s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bidi="ar"/>
        </w:rPr>
        <w:t xml:space="preserve"> hydrolysis and methane yield of sludge temperature phased-anaerobic digestion</w:t>
      </w:r>
    </w:p>
    <w:p w14:paraId="7C7F3B9C">
      <w:pPr>
        <w:suppressLineNumbers/>
        <w:autoSpaceDE w:val="0"/>
        <w:autoSpaceDN w:val="0"/>
        <w:adjustRightInd w:val="0"/>
        <w:spacing w:line="480" w:lineRule="auto"/>
        <w:ind w:firstLine="0" w:firstLineChars="0"/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bidi="ar"/>
        </w:rPr>
      </w:pPr>
    </w:p>
    <w:p w14:paraId="33D86F84">
      <w:pPr>
        <w:widowControl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Arial Unicode MS" w:cs="Times New Roman"/>
          <w:b/>
          <w:kern w:val="0"/>
          <w:sz w:val="24"/>
          <w:szCs w:val="24"/>
        </w:rPr>
        <w:t>Contents:</w:t>
      </w:r>
    </w:p>
    <w:p w14:paraId="1979280C">
      <w:pPr>
        <w:spacing w:line="480" w:lineRule="auto"/>
        <w:jc w:val="both"/>
        <w:rPr>
          <w:rFonts w:hint="default" w:ascii="Times New Roman" w:hAnsi="Times New Roman" w:cs="Times New Roman" w:eastAsiaTheme="minor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>Fig. S</w:t>
      </w: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</w:rPr>
        <w:t>: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>The (a) free ammonia nitrogen and (b) soluble chemical oxygen demand during anaerobic digestion</w:t>
      </w:r>
    </w:p>
    <w:p w14:paraId="6EB61E69">
      <w:pPr>
        <w:spacing w:line="480" w:lineRule="auto"/>
        <w:jc w:val="both"/>
        <w:rPr>
          <w:rFonts w:hint="eastAsia" w:ascii="Times New Roman" w:hAnsi="Times New Roman" w:cs="Times New Roman" w:eastAsiaTheme="minorEastAsia"/>
          <w:b/>
          <w:bCs/>
          <w:sz w:val="24"/>
          <w:szCs w:val="24"/>
          <w:highlight w:val="yellow"/>
          <w:lang w:val="en-US"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>Fig. S2</w:t>
      </w: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(a)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>P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>hylum-level relative abundance of bacteria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,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(b)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g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>enus-level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relative abundance of archaea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(a: day 2; b: day 41), (c) p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hylum-level principal component analysis of bacteria, and (d) genus-level principal component analysis of 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>archaea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on day 41</w:t>
      </w:r>
    </w:p>
    <w:p w14:paraId="7B840F5E">
      <w:pPr>
        <w:spacing w:line="480" w:lineRule="auto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</w:pPr>
      <w:bookmarkStart w:id="0" w:name="OLE_LINK1"/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Table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S</w:t>
      </w: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</w:rPr>
        <w:t>Parameters of different seed sludge and dewatered sludge</w:t>
      </w:r>
    </w:p>
    <w:p w14:paraId="2A2A42E0">
      <w:pPr>
        <w:spacing w:line="480" w:lineRule="auto"/>
        <w:jc w:val="both"/>
        <w:rPr>
          <w:rFonts w:hint="eastAsia" w:ascii="Times New Roman" w:hAnsi="Times New Roman" w:cs="Times New Roman" w:eastAsiaTheme="minorEastAsia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Table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S</w:t>
      </w: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</w:t>
      </w:r>
      <w:bookmarkEnd w:id="0"/>
      <w:r>
        <w:rPr>
          <w:rFonts w:hint="eastAsia" w:ascii="Times New Roman" w:hAnsi="Times New Roman" w:cs="Times New Roman"/>
          <w:sz w:val="24"/>
          <w:szCs w:val="24"/>
          <w:highlight w:val="none"/>
        </w:rPr>
        <w:t>Alpha diversity analysis of bacteria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and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</w:rPr>
        <w:t>archaea</w:t>
      </w: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(a: day 2; b: day 41)</w:t>
      </w:r>
    </w:p>
    <w:p w14:paraId="15F2893D">
      <w:pPr>
        <w:spacing w:line="480" w:lineRule="auto"/>
        <w:jc w:val="both"/>
        <w:rPr>
          <w:rFonts w:ascii="Times New Roman" w:hAnsi="Times New Roman" w:cs="Times New Roman"/>
          <w:b/>
          <w:bCs/>
          <w:szCs w:val="21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Table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S</w:t>
      </w: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</w:rPr>
        <w:t>:</w:t>
      </w: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>Changes in</w:t>
      </w: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>t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he relative abundance of bacteria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and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</w:rPr>
        <w:t>archaea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under different treatments (a: day 2; b: day 41)</w:t>
      </w:r>
    </w:p>
    <w:p w14:paraId="27241FAE">
      <w:pPr>
        <w:rPr>
          <w:rFonts w:ascii="Times New Roman" w:hAnsi="Times New Roman" w:cs="Times New Roman"/>
          <w:b/>
          <w:bCs/>
          <w:szCs w:val="21"/>
        </w:rPr>
      </w:pPr>
    </w:p>
    <w:p w14:paraId="56BBD6D7">
      <w:pPr>
        <w:rPr>
          <w:rFonts w:ascii="Times New Roman" w:hAnsi="Times New Roman" w:cs="Times New Roman"/>
          <w:b/>
          <w:bCs/>
          <w:szCs w:val="21"/>
        </w:rPr>
      </w:pPr>
    </w:p>
    <w:p w14:paraId="5EFD4FA2">
      <w:pPr>
        <w:rPr>
          <w:rFonts w:ascii="Times New Roman" w:hAnsi="Times New Roman" w:cs="Times New Roman"/>
          <w:b/>
          <w:bCs/>
          <w:szCs w:val="21"/>
        </w:rPr>
      </w:pPr>
    </w:p>
    <w:p w14:paraId="759E2534">
      <w:pPr>
        <w:rPr>
          <w:rFonts w:ascii="Times New Roman" w:hAnsi="Times New Roman" w:cs="Times New Roman"/>
          <w:b/>
          <w:bCs/>
          <w:szCs w:val="21"/>
        </w:rPr>
      </w:pPr>
    </w:p>
    <w:p w14:paraId="6555B2EA">
      <w:pPr>
        <w:rPr>
          <w:rFonts w:ascii="Times New Roman" w:hAnsi="Times New Roman" w:cs="Times New Roman"/>
          <w:b/>
          <w:bCs/>
          <w:szCs w:val="21"/>
        </w:rPr>
      </w:pPr>
    </w:p>
    <w:p w14:paraId="5B399BE9">
      <w:pPr>
        <w:rPr>
          <w:rFonts w:ascii="Times New Roman" w:hAnsi="Times New Roman" w:cs="Times New Roman"/>
          <w:b/>
          <w:bCs/>
          <w:szCs w:val="21"/>
        </w:rPr>
      </w:pPr>
    </w:p>
    <w:p w14:paraId="596EAA26">
      <w:pPr>
        <w:rPr>
          <w:rFonts w:ascii="Times New Roman" w:hAnsi="Times New Roman" w:cs="Times New Roman"/>
          <w:b/>
          <w:bCs/>
          <w:szCs w:val="21"/>
        </w:rPr>
      </w:pPr>
    </w:p>
    <w:p w14:paraId="47F02372">
      <w:pPr>
        <w:rPr>
          <w:rFonts w:ascii="Times New Roman" w:hAnsi="Times New Roman" w:cs="Times New Roman"/>
          <w:b/>
          <w:bCs/>
          <w:szCs w:val="21"/>
        </w:rPr>
      </w:pPr>
    </w:p>
    <w:p w14:paraId="571BD14F">
      <w:pPr>
        <w:rPr>
          <w:rFonts w:ascii="Times New Roman" w:hAnsi="Times New Roman" w:cs="Times New Roman"/>
          <w:b/>
          <w:bCs/>
          <w:szCs w:val="21"/>
        </w:rPr>
      </w:pPr>
    </w:p>
    <w:p w14:paraId="5F775FFF">
      <w:pPr>
        <w:rPr>
          <w:rFonts w:ascii="Times New Roman" w:hAnsi="Times New Roman" w:cs="Times New Roman"/>
          <w:b/>
          <w:bCs/>
          <w:szCs w:val="21"/>
        </w:rPr>
      </w:pPr>
    </w:p>
    <w:p w14:paraId="43071089">
      <w:pPr>
        <w:rPr>
          <w:rFonts w:ascii="Times New Roman" w:hAnsi="Times New Roman" w:cs="Times New Roman"/>
          <w:b/>
          <w:bCs/>
          <w:szCs w:val="21"/>
        </w:rPr>
      </w:pPr>
    </w:p>
    <w:p w14:paraId="17FF854A">
      <w:pPr>
        <w:rPr>
          <w:rFonts w:ascii="Times New Roman" w:hAnsi="Times New Roman" w:cs="Times New Roman"/>
          <w:b/>
          <w:bCs/>
          <w:szCs w:val="21"/>
        </w:rPr>
      </w:pPr>
    </w:p>
    <w:p w14:paraId="60B51284">
      <w:pPr>
        <w:rPr>
          <w:rFonts w:ascii="Times New Roman" w:hAnsi="Times New Roman" w:cs="Times New Roman"/>
          <w:b/>
          <w:bCs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E6D0BE3">
      <w:pPr>
        <w:jc w:val="center"/>
        <w:rPr>
          <w:rFonts w:hint="eastAsia" w:ascii="Times New Roman" w:hAnsi="Times New Roman" w:cs="Times New Roman" w:eastAsiaTheme="minorEastAsia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4"/>
          <w:szCs w:val="24"/>
          <w:lang w:eastAsia="zh-CN"/>
        </w:rPr>
        <w:drawing>
          <wp:inline distT="0" distB="0" distL="114300" distR="114300">
            <wp:extent cx="8293100" cy="4835525"/>
            <wp:effectExtent l="0" t="0" r="3175" b="3175"/>
            <wp:docPr id="3" name="图片 3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9310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E33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Fig. S1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The (a) free ammonia nitrogen and (b) soluble chemical oxygen demand during anaerobic digestion</w:t>
      </w:r>
    </w:p>
    <w:p w14:paraId="782CC3F4">
      <w:pPr>
        <w:rPr>
          <w:rFonts w:hint="eastAsia" w:ascii="Times New Roman" w:hAnsi="Times New Roman" w:eastAsia="宋体" w:cs="Times New Roman"/>
          <w:b/>
          <w:color w:val="00B05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24"/>
          <w:szCs w:val="24"/>
          <w:lang w:eastAsia="zh-CN"/>
        </w:rPr>
        <w:br w:type="page"/>
      </w:r>
    </w:p>
    <w:p w14:paraId="555CF6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00B050"/>
          <w:sz w:val="24"/>
          <w:szCs w:val="24"/>
          <w:lang w:eastAsia="zh-CN"/>
        </w:rPr>
        <w:drawing>
          <wp:inline distT="0" distB="0" distL="114300" distR="114300">
            <wp:extent cx="8532495" cy="4644390"/>
            <wp:effectExtent l="0" t="0" r="1905" b="3810"/>
            <wp:docPr id="2" name="图片 2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32495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D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Fig. S2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(a) Phylum-level relative abundance of bacteria, (b) genus-level relative abundance of archaea (a: day 2; b: day 41), (c) phylum-level principal component analysis of bacteria, and (d) genus-level principal component analysis of archaea on day 41</w:t>
      </w:r>
    </w:p>
    <w:p w14:paraId="44351FCC">
      <w:pPr>
        <w:bidi w:val="0"/>
        <w:jc w:val="left"/>
        <w:rPr>
          <w:rFonts w:hint="eastAsia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7C9CC7F5">
      <w:pPr>
        <w:spacing w:line="480" w:lineRule="auto"/>
        <w:ind w:firstLine="0" w:firstLineChars="0"/>
        <w:jc w:val="center"/>
        <w:rPr>
          <w:rFonts w:ascii="Times New Roman" w:hAnsi="Times New Roman" w:eastAsia="宋体" w:cs="Times New Roman"/>
          <w:b/>
          <w:sz w:val="24"/>
          <w:szCs w:val="24"/>
        </w:rPr>
      </w:pPr>
      <w:bookmarkStart w:id="1" w:name="OLE_LINK28"/>
      <w:r>
        <w:rPr>
          <w:rFonts w:ascii="Times New Roman" w:hAnsi="Times New Roman" w:eastAsia="宋体" w:cs="Times New Roman"/>
          <w:b/>
          <w:sz w:val="24"/>
          <w:szCs w:val="24"/>
        </w:rPr>
        <w:t xml:space="preserve">Table 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>S</w:t>
      </w:r>
      <w:bookmarkStart w:id="5" w:name="_GoBack"/>
      <w:bookmarkEnd w:id="5"/>
      <w:r>
        <w:rPr>
          <w:rFonts w:ascii="Times New Roman" w:hAnsi="Times New Roman" w:eastAsia="宋体" w:cs="Times New Roman"/>
          <w:b/>
          <w:sz w:val="24"/>
          <w:szCs w:val="24"/>
        </w:rPr>
        <w:t xml:space="preserve">1 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arameters</w:t>
      </w:r>
      <w:r>
        <w:rPr>
          <w:rFonts w:ascii="Times New Roman" w:hAnsi="Times New Roman" w:eastAsia="宋体" w:cs="Times New Roman"/>
          <w:b/>
          <w:sz w:val="24"/>
          <w:szCs w:val="24"/>
        </w:rPr>
        <w:t xml:space="preserve"> of different seed sludge and </w:t>
      </w:r>
      <w:bookmarkEnd w:id="1"/>
      <w:r>
        <w:rPr>
          <w:rFonts w:ascii="Times New Roman" w:hAnsi="Times New Roman" w:eastAsia="宋体" w:cs="Times New Roman"/>
          <w:b/>
          <w:sz w:val="24"/>
          <w:szCs w:val="24"/>
        </w:rPr>
        <w:t>dewatered sludge</w:t>
      </w:r>
    </w:p>
    <w:tbl>
      <w:tblPr>
        <w:tblStyle w:val="8"/>
        <w:tblW w:w="6856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9"/>
        <w:gridCol w:w="1622"/>
        <w:gridCol w:w="1622"/>
        <w:gridCol w:w="1793"/>
      </w:tblGrid>
      <w:tr w14:paraId="5BAF485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9" w:type="dxa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25B00CB3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</w:p>
        </w:tc>
        <w:tc>
          <w:tcPr>
            <w:tcW w:w="1622" w:type="dxa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6DE3EAE4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Thermophilic</w:t>
            </w:r>
          </w:p>
          <w:p w14:paraId="5BB7320D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seed sludge</w:t>
            </w:r>
          </w:p>
        </w:tc>
        <w:tc>
          <w:tcPr>
            <w:tcW w:w="1622" w:type="dxa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1E07F511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Mesophilic</w:t>
            </w:r>
          </w:p>
          <w:p w14:paraId="32514692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seed sludge</w:t>
            </w:r>
          </w:p>
        </w:tc>
        <w:tc>
          <w:tcPr>
            <w:tcW w:w="1793" w:type="dxa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730D2E1F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Dewatered sludge</w:t>
            </w:r>
          </w:p>
        </w:tc>
      </w:tr>
      <w:tr w14:paraId="26714BD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819" w:type="dxa"/>
            <w:tcBorders>
              <w:top w:val="single" w:color="auto" w:sz="6" w:space="0"/>
            </w:tcBorders>
            <w:vAlign w:val="center"/>
          </w:tcPr>
          <w:p w14:paraId="6E77B6E1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bookmarkStart w:id="2" w:name="OLE_LINK26" w:colFirst="3" w:colLast="3"/>
            <w:bookmarkStart w:id="3" w:name="OLE_LINK27" w:colFirst="1" w:colLast="1"/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 xml:space="preserve"> TS (%)</w:t>
            </w:r>
          </w:p>
        </w:tc>
        <w:tc>
          <w:tcPr>
            <w:tcW w:w="1622" w:type="dxa"/>
            <w:tcBorders>
              <w:top w:val="single" w:color="auto" w:sz="6" w:space="0"/>
            </w:tcBorders>
            <w:vAlign w:val="center"/>
          </w:tcPr>
          <w:p w14:paraId="01AFBE31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6.26 ± 0.06</w:t>
            </w:r>
          </w:p>
        </w:tc>
        <w:tc>
          <w:tcPr>
            <w:tcW w:w="1622" w:type="dxa"/>
            <w:tcBorders>
              <w:top w:val="single" w:color="auto" w:sz="6" w:space="0"/>
            </w:tcBorders>
            <w:vAlign w:val="center"/>
          </w:tcPr>
          <w:p w14:paraId="4E20195E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6.19 ± 0.01</w:t>
            </w:r>
          </w:p>
        </w:tc>
        <w:tc>
          <w:tcPr>
            <w:tcW w:w="1793" w:type="dxa"/>
            <w:tcBorders>
              <w:top w:val="single" w:color="auto" w:sz="6" w:space="0"/>
            </w:tcBorders>
            <w:vAlign w:val="center"/>
          </w:tcPr>
          <w:p w14:paraId="407A1480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27.22 ± 1.74</w:t>
            </w:r>
          </w:p>
        </w:tc>
      </w:tr>
      <w:tr w14:paraId="27A5B1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819" w:type="dxa"/>
            <w:vAlign w:val="center"/>
          </w:tcPr>
          <w:p w14:paraId="6376582E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 xml:space="preserve"> VS (%)</w:t>
            </w:r>
          </w:p>
        </w:tc>
        <w:tc>
          <w:tcPr>
            <w:tcW w:w="1622" w:type="dxa"/>
            <w:vAlign w:val="center"/>
          </w:tcPr>
          <w:p w14:paraId="4E21D2F2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2.25 ± 0.01</w:t>
            </w:r>
          </w:p>
        </w:tc>
        <w:tc>
          <w:tcPr>
            <w:tcW w:w="1622" w:type="dxa"/>
            <w:vAlign w:val="center"/>
          </w:tcPr>
          <w:p w14:paraId="02A67FE2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2.46 ± 0.02</w:t>
            </w:r>
          </w:p>
        </w:tc>
        <w:tc>
          <w:tcPr>
            <w:tcW w:w="1793" w:type="dxa"/>
            <w:vAlign w:val="center"/>
          </w:tcPr>
          <w:p w14:paraId="4884BF24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7.17 ± 0.50</w:t>
            </w:r>
          </w:p>
        </w:tc>
      </w:tr>
      <w:tr w14:paraId="11B506C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819" w:type="dxa"/>
            <w:vAlign w:val="center"/>
          </w:tcPr>
          <w:p w14:paraId="1A8C02AB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VS/TS (%)</w:t>
            </w:r>
          </w:p>
        </w:tc>
        <w:tc>
          <w:tcPr>
            <w:tcW w:w="1622" w:type="dxa"/>
            <w:vAlign w:val="center"/>
          </w:tcPr>
          <w:p w14:paraId="084F0762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36.02 ± 0.29</w:t>
            </w:r>
          </w:p>
        </w:tc>
        <w:tc>
          <w:tcPr>
            <w:tcW w:w="1622" w:type="dxa"/>
            <w:vAlign w:val="center"/>
          </w:tcPr>
          <w:p w14:paraId="5ADAE2FD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39.71 ± 0.38</w:t>
            </w:r>
          </w:p>
        </w:tc>
        <w:tc>
          <w:tcPr>
            <w:tcW w:w="1793" w:type="dxa"/>
            <w:vAlign w:val="center"/>
          </w:tcPr>
          <w:p w14:paraId="1A42DA15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26.35 ± 0.28</w:t>
            </w:r>
          </w:p>
        </w:tc>
      </w:tr>
      <w:bookmarkEnd w:id="2"/>
      <w:bookmarkEnd w:id="3"/>
      <w:tr w14:paraId="364DE8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819" w:type="dxa"/>
            <w:vAlign w:val="center"/>
          </w:tcPr>
          <w:p w14:paraId="68D123FB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pH</w:t>
            </w:r>
          </w:p>
        </w:tc>
        <w:tc>
          <w:tcPr>
            <w:tcW w:w="1622" w:type="dxa"/>
            <w:vAlign w:val="center"/>
          </w:tcPr>
          <w:p w14:paraId="3A5E366A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7.72 ± 0.03</w:t>
            </w:r>
          </w:p>
        </w:tc>
        <w:tc>
          <w:tcPr>
            <w:tcW w:w="1622" w:type="dxa"/>
            <w:vAlign w:val="center"/>
          </w:tcPr>
          <w:p w14:paraId="4B5A5F5E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7.68 ± 0.05</w:t>
            </w:r>
          </w:p>
        </w:tc>
        <w:tc>
          <w:tcPr>
            <w:tcW w:w="1793" w:type="dxa"/>
            <w:vAlign w:val="center"/>
          </w:tcPr>
          <w:p w14:paraId="65097156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7.31 ± 0.02</w:t>
            </w:r>
          </w:p>
        </w:tc>
      </w:tr>
      <w:tr w14:paraId="7CD54F8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819" w:type="dxa"/>
            <w:vAlign w:val="center"/>
          </w:tcPr>
          <w:p w14:paraId="65DA84EC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C (%, dry solids)</w:t>
            </w:r>
          </w:p>
        </w:tc>
        <w:tc>
          <w:tcPr>
            <w:tcW w:w="1622" w:type="dxa"/>
            <w:vAlign w:val="center"/>
          </w:tcPr>
          <w:p w14:paraId="0B2A3E16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8.59 ± 0.05</w:t>
            </w:r>
          </w:p>
        </w:tc>
        <w:tc>
          <w:tcPr>
            <w:tcW w:w="1622" w:type="dxa"/>
            <w:vAlign w:val="center"/>
          </w:tcPr>
          <w:p w14:paraId="6E9C7821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8.95 ± 0.07</w:t>
            </w:r>
          </w:p>
        </w:tc>
        <w:tc>
          <w:tcPr>
            <w:tcW w:w="1793" w:type="dxa"/>
            <w:vAlign w:val="center"/>
          </w:tcPr>
          <w:p w14:paraId="03B9754A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11.99 ± 0.13</w:t>
            </w:r>
          </w:p>
        </w:tc>
      </w:tr>
      <w:tr w14:paraId="03AF4C1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819" w:type="dxa"/>
            <w:vAlign w:val="center"/>
          </w:tcPr>
          <w:p w14:paraId="1E59D2DB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H (%, dry solids)</w:t>
            </w:r>
          </w:p>
        </w:tc>
        <w:tc>
          <w:tcPr>
            <w:tcW w:w="1622" w:type="dxa"/>
            <w:vAlign w:val="center"/>
          </w:tcPr>
          <w:p w14:paraId="76FACE22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1.23 ± 0.01</w:t>
            </w:r>
          </w:p>
        </w:tc>
        <w:tc>
          <w:tcPr>
            <w:tcW w:w="1622" w:type="dxa"/>
            <w:vAlign w:val="center"/>
          </w:tcPr>
          <w:p w14:paraId="0EC2DF7F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1.27 ± 0.02</w:t>
            </w:r>
          </w:p>
        </w:tc>
        <w:tc>
          <w:tcPr>
            <w:tcW w:w="1793" w:type="dxa"/>
            <w:vAlign w:val="center"/>
          </w:tcPr>
          <w:p w14:paraId="6504C966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1.65 ± 0.03</w:t>
            </w:r>
          </w:p>
        </w:tc>
      </w:tr>
      <w:tr w14:paraId="43664BD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819" w:type="dxa"/>
            <w:vAlign w:val="center"/>
          </w:tcPr>
          <w:p w14:paraId="7706AF65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N (%, dry solids)</w:t>
            </w:r>
          </w:p>
        </w:tc>
        <w:tc>
          <w:tcPr>
            <w:tcW w:w="1622" w:type="dxa"/>
            <w:vAlign w:val="center"/>
          </w:tcPr>
          <w:p w14:paraId="5683B9DD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0.94 ± 0.00</w:t>
            </w:r>
          </w:p>
        </w:tc>
        <w:tc>
          <w:tcPr>
            <w:tcW w:w="1622" w:type="dxa"/>
            <w:vAlign w:val="center"/>
          </w:tcPr>
          <w:p w14:paraId="167E3D03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1.11 ± 0.01</w:t>
            </w:r>
          </w:p>
        </w:tc>
        <w:tc>
          <w:tcPr>
            <w:tcW w:w="1793" w:type="dxa"/>
            <w:vAlign w:val="center"/>
          </w:tcPr>
          <w:p w14:paraId="03F75AE2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1.90 ± 0.04</w:t>
            </w:r>
          </w:p>
        </w:tc>
      </w:tr>
      <w:tr w14:paraId="7B37B47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819" w:type="dxa"/>
            <w:vAlign w:val="center"/>
          </w:tcPr>
          <w:p w14:paraId="46778836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S (%, dry solids)</w:t>
            </w:r>
          </w:p>
        </w:tc>
        <w:tc>
          <w:tcPr>
            <w:tcW w:w="1622" w:type="dxa"/>
            <w:vAlign w:val="center"/>
          </w:tcPr>
          <w:p w14:paraId="72B1600C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0.33 ± 0.01</w:t>
            </w:r>
          </w:p>
        </w:tc>
        <w:tc>
          <w:tcPr>
            <w:tcW w:w="1622" w:type="dxa"/>
            <w:vAlign w:val="center"/>
          </w:tcPr>
          <w:p w14:paraId="19BEA3CC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0.36 ± 0.01</w:t>
            </w:r>
          </w:p>
        </w:tc>
        <w:tc>
          <w:tcPr>
            <w:tcW w:w="1793" w:type="dxa"/>
            <w:vAlign w:val="center"/>
          </w:tcPr>
          <w:p w14:paraId="419E9144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0.34 ± 0.00</w:t>
            </w:r>
          </w:p>
        </w:tc>
      </w:tr>
      <w:tr w14:paraId="51208DB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819" w:type="dxa"/>
            <w:vAlign w:val="center"/>
          </w:tcPr>
          <w:p w14:paraId="23134679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C/N</w:t>
            </w:r>
          </w:p>
        </w:tc>
        <w:tc>
          <w:tcPr>
            <w:tcW w:w="1622" w:type="dxa"/>
            <w:vAlign w:val="center"/>
          </w:tcPr>
          <w:p w14:paraId="35835292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9.12 ± 0.08 </w:t>
            </w:r>
          </w:p>
        </w:tc>
        <w:tc>
          <w:tcPr>
            <w:tcW w:w="1622" w:type="dxa"/>
            <w:vAlign w:val="center"/>
          </w:tcPr>
          <w:p w14:paraId="0A0370E0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8.05 ± 0.15</w:t>
            </w:r>
          </w:p>
        </w:tc>
        <w:tc>
          <w:tcPr>
            <w:tcW w:w="1793" w:type="dxa"/>
            <w:vAlign w:val="center"/>
          </w:tcPr>
          <w:p w14:paraId="410DFFF1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6.32 ± 0.04</w:t>
            </w:r>
          </w:p>
        </w:tc>
      </w:tr>
    </w:tbl>
    <w:p w14:paraId="68E9F5DB">
      <w:pPr>
        <w:spacing w:line="240" w:lineRule="auto"/>
        <w:ind w:firstLine="3600" w:firstLineChars="1500"/>
        <w:jc w:val="both"/>
        <w:rPr>
          <w:rFonts w:hint="default" w:ascii="Times New Roman" w:hAnsi="Times New Roman" w:eastAsia="宋体" w:cs="Times New Roman"/>
          <w:bCs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Note: All values are expressed as mean ± standard deviation (n = 3).</w:t>
      </w:r>
      <w:r>
        <w:rPr>
          <w:rFonts w:hint="eastAsia" w:ascii="Times New Roman" w:hAnsi="Times New Roman" w:eastAsia="宋体" w:cs="Times New Roman"/>
          <w:sz w:val="24"/>
          <w:szCs w:val="24"/>
          <w:vertAlign w:val="superscript"/>
          <w:lang w:val="en-US" w:eastAsia="zh-CN"/>
        </w:rPr>
        <w:t xml:space="preserve"> (Total solids, TS; volatile solids, VS)</w:t>
      </w:r>
    </w:p>
    <w:p w14:paraId="07898499">
      <w:pPr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</w:pPr>
    </w:p>
    <w:p w14:paraId="7C59BB4B">
      <w:pPr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</w:pPr>
    </w:p>
    <w:p w14:paraId="51358FB7">
      <w:pPr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</w:pPr>
    </w:p>
    <w:p w14:paraId="671AFDBA">
      <w:pPr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</w:pPr>
    </w:p>
    <w:p w14:paraId="0F890992">
      <w:pPr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</w:pPr>
    </w:p>
    <w:p w14:paraId="360AD6F7">
      <w:pPr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</w:pPr>
    </w:p>
    <w:p w14:paraId="50D030A6">
      <w:pPr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</w:pPr>
    </w:p>
    <w:p w14:paraId="15A16F97">
      <w:pPr>
        <w:spacing w:line="480" w:lineRule="auto"/>
        <w:jc w:val="center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Table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 xml:space="preserve">Alpha diversity analysis of bacteria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and 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archaea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(a: day 2; b: day 41)</w:t>
      </w:r>
    </w:p>
    <w:tbl>
      <w:tblPr>
        <w:tblStyle w:val="8"/>
        <w:tblW w:w="143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068"/>
        <w:gridCol w:w="1410"/>
        <w:gridCol w:w="1320"/>
        <w:gridCol w:w="1354"/>
        <w:gridCol w:w="1429"/>
        <w:gridCol w:w="1214"/>
        <w:gridCol w:w="1275"/>
        <w:gridCol w:w="1328"/>
        <w:gridCol w:w="1305"/>
        <w:gridCol w:w="1395"/>
      </w:tblGrid>
      <w:tr w14:paraId="12C0A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288" w:type="dxa"/>
            <w:vMerge w:val="restart"/>
            <w:tcBorders>
              <w:top w:val="single" w:color="auto" w:sz="12" w:space="0"/>
            </w:tcBorders>
            <w:vAlign w:val="center"/>
          </w:tcPr>
          <w:p w14:paraId="3DFAE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bookmarkStart w:id="4" w:name="OLE_LINK3"/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acteria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3CC8D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ample</w:t>
            </w:r>
          </w:p>
        </w:tc>
        <w:tc>
          <w:tcPr>
            <w:tcW w:w="1410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70DF5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OTUs</w:t>
            </w:r>
          </w:p>
        </w:tc>
        <w:tc>
          <w:tcPr>
            <w:tcW w:w="1320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45B87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hannon</w:t>
            </w:r>
          </w:p>
        </w:tc>
        <w:tc>
          <w:tcPr>
            <w:tcW w:w="1354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45AB6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hao</w:t>
            </w:r>
          </w:p>
        </w:tc>
        <w:tc>
          <w:tcPr>
            <w:tcW w:w="1429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23F20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overage</w:t>
            </w:r>
          </w:p>
        </w:tc>
        <w:tc>
          <w:tcPr>
            <w:tcW w:w="1214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40766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ample</w:t>
            </w:r>
          </w:p>
        </w:tc>
        <w:tc>
          <w:tcPr>
            <w:tcW w:w="1275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7AF7E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OTUs</w:t>
            </w:r>
          </w:p>
        </w:tc>
        <w:tc>
          <w:tcPr>
            <w:tcW w:w="1328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3D0C4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hannon</w:t>
            </w:r>
          </w:p>
        </w:tc>
        <w:tc>
          <w:tcPr>
            <w:tcW w:w="1305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0E4EF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hao</w:t>
            </w:r>
          </w:p>
        </w:tc>
        <w:tc>
          <w:tcPr>
            <w:tcW w:w="1395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4651A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overage</w:t>
            </w:r>
          </w:p>
        </w:tc>
      </w:tr>
      <w:tr w14:paraId="26B95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Merge w:val="continue"/>
            <w:vAlign w:val="center"/>
          </w:tcPr>
          <w:p w14:paraId="0D145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68" w:type="dxa"/>
            <w:tcBorders>
              <w:top w:val="single" w:color="auto" w:sz="8" w:space="0"/>
            </w:tcBorders>
            <w:vAlign w:val="center"/>
          </w:tcPr>
          <w:p w14:paraId="24D95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TTN-a</w:t>
            </w:r>
          </w:p>
        </w:tc>
        <w:tc>
          <w:tcPr>
            <w:tcW w:w="1410" w:type="dxa"/>
            <w:tcBorders>
              <w:top w:val="single" w:color="auto" w:sz="8" w:space="0"/>
            </w:tcBorders>
            <w:vAlign w:val="center"/>
          </w:tcPr>
          <w:p w14:paraId="3FD1B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2089 ± 84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abc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0" w:type="dxa"/>
            <w:tcBorders>
              <w:top w:val="single" w:color="auto" w:sz="8" w:space="0"/>
            </w:tcBorders>
            <w:vAlign w:val="center"/>
          </w:tcPr>
          <w:p w14:paraId="74FD3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 ± 0.13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54" w:type="dxa"/>
            <w:tcBorders>
              <w:top w:val="single" w:color="auto" w:sz="8" w:space="0"/>
            </w:tcBorders>
            <w:vAlign w:val="center"/>
          </w:tcPr>
          <w:p w14:paraId="48DD9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2276 ± 69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429" w:type="dxa"/>
            <w:tcBorders>
              <w:top w:val="single" w:color="auto" w:sz="8" w:space="0"/>
            </w:tcBorders>
            <w:vAlign w:val="center"/>
          </w:tcPr>
          <w:p w14:paraId="60A83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214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CEEE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TTN-b</w:t>
            </w:r>
          </w:p>
        </w:tc>
        <w:tc>
          <w:tcPr>
            <w:tcW w:w="1275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872F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1384 ± 93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8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9B91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6.19 ± 0.29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05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F31B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1573 ± 80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95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6C4B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3F8AC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Merge w:val="continue"/>
            <w:vAlign w:val="center"/>
          </w:tcPr>
          <w:p w14:paraId="2B8A3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68" w:type="dxa"/>
            <w:vAlign w:val="center"/>
          </w:tcPr>
          <w:p w14:paraId="26978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TTD-a</w:t>
            </w:r>
          </w:p>
        </w:tc>
        <w:tc>
          <w:tcPr>
            <w:tcW w:w="1410" w:type="dxa"/>
            <w:vAlign w:val="center"/>
          </w:tcPr>
          <w:p w14:paraId="33AF9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2051 ± 92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0" w:type="dxa"/>
            <w:vAlign w:val="center"/>
          </w:tcPr>
          <w:p w14:paraId="33A2D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7.49 ± 0.15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54" w:type="dxa"/>
            <w:vAlign w:val="center"/>
          </w:tcPr>
          <w:p w14:paraId="052A5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2245 ± 84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429" w:type="dxa"/>
            <w:vAlign w:val="center"/>
          </w:tcPr>
          <w:p w14:paraId="5BBEF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7F031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TTD-b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BA31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1467 ± 65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6CFF6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6.42 ± 0.23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67BAC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1622 ± 67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584EE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5E71E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Merge w:val="continue"/>
            <w:vAlign w:val="center"/>
          </w:tcPr>
          <w:p w14:paraId="7D448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68" w:type="dxa"/>
            <w:vAlign w:val="center"/>
          </w:tcPr>
          <w:p w14:paraId="7E586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TMN-a</w:t>
            </w:r>
          </w:p>
        </w:tc>
        <w:tc>
          <w:tcPr>
            <w:tcW w:w="1410" w:type="dxa"/>
            <w:vAlign w:val="center"/>
          </w:tcPr>
          <w:p w14:paraId="74050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 ± 182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abc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0" w:type="dxa"/>
            <w:vAlign w:val="center"/>
          </w:tcPr>
          <w:p w14:paraId="441A7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.86 ± 0.20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54" w:type="dxa"/>
            <w:vAlign w:val="center"/>
          </w:tcPr>
          <w:p w14:paraId="27BBB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 ± 154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429" w:type="dxa"/>
            <w:vAlign w:val="center"/>
          </w:tcPr>
          <w:p w14:paraId="45751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04A04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TMN-b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9785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 ± 74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7B1EB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7.8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0.19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20BC8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 ± 52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2257A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2DA50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Merge w:val="continue"/>
            <w:vAlign w:val="center"/>
          </w:tcPr>
          <w:p w14:paraId="76560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68" w:type="dxa"/>
            <w:vAlign w:val="center"/>
          </w:tcPr>
          <w:p w14:paraId="3D899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TMD-a</w:t>
            </w:r>
          </w:p>
        </w:tc>
        <w:tc>
          <w:tcPr>
            <w:tcW w:w="1410" w:type="dxa"/>
            <w:vAlign w:val="center"/>
          </w:tcPr>
          <w:p w14:paraId="64F4F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87 ± 139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0" w:type="dxa"/>
            <w:vAlign w:val="center"/>
          </w:tcPr>
          <w:p w14:paraId="6E7E3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7.17 ± 0.19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54" w:type="dxa"/>
            <w:vAlign w:val="center"/>
          </w:tcPr>
          <w:p w14:paraId="39740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 ± 34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429" w:type="dxa"/>
            <w:vAlign w:val="center"/>
          </w:tcPr>
          <w:p w14:paraId="64A74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75B7D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TMD-b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289A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2065 ± 65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5FF01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7.26 ± 0.42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5CC25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2211 ± 78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442EE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1B308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Merge w:val="continue"/>
            <w:vAlign w:val="center"/>
          </w:tcPr>
          <w:p w14:paraId="7DB10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68" w:type="dxa"/>
            <w:vAlign w:val="center"/>
          </w:tcPr>
          <w:p w14:paraId="4EBCD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MMN-a</w:t>
            </w:r>
          </w:p>
        </w:tc>
        <w:tc>
          <w:tcPr>
            <w:tcW w:w="1410" w:type="dxa"/>
            <w:vAlign w:val="center"/>
          </w:tcPr>
          <w:p w14:paraId="65ADF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2270 ± 115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0" w:type="dxa"/>
            <w:vAlign w:val="center"/>
          </w:tcPr>
          <w:p w14:paraId="39228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8.80 ± 0.03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</w:p>
        </w:tc>
        <w:tc>
          <w:tcPr>
            <w:tcW w:w="1354" w:type="dxa"/>
            <w:vAlign w:val="center"/>
          </w:tcPr>
          <w:p w14:paraId="6CD57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2386 ± 120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429" w:type="dxa"/>
            <w:vAlign w:val="center"/>
          </w:tcPr>
          <w:p w14:paraId="63D4C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0396C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MMN-b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E67F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 ± 62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6CAE2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 ± 0.03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5A463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 ± 67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793EB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23868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Merge w:val="continue"/>
            <w:tcBorders>
              <w:bottom w:val="single" w:color="auto" w:sz="8" w:space="0"/>
            </w:tcBorders>
            <w:vAlign w:val="center"/>
          </w:tcPr>
          <w:p w14:paraId="36F36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68" w:type="dxa"/>
            <w:tcBorders>
              <w:bottom w:val="single" w:color="auto" w:sz="8" w:space="0"/>
            </w:tcBorders>
            <w:vAlign w:val="center"/>
          </w:tcPr>
          <w:p w14:paraId="3B485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MMD-a</w:t>
            </w:r>
          </w:p>
        </w:tc>
        <w:tc>
          <w:tcPr>
            <w:tcW w:w="1410" w:type="dxa"/>
            <w:tcBorders>
              <w:bottom w:val="single" w:color="auto" w:sz="8" w:space="0"/>
            </w:tcBorders>
            <w:vAlign w:val="center"/>
          </w:tcPr>
          <w:p w14:paraId="3F450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2237 ± 69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0" w:type="dxa"/>
            <w:tcBorders>
              <w:bottom w:val="single" w:color="auto" w:sz="8" w:space="0"/>
            </w:tcBorders>
            <w:vAlign w:val="center"/>
          </w:tcPr>
          <w:p w14:paraId="1383A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8.77 ± 0.01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54" w:type="dxa"/>
            <w:tcBorders>
              <w:bottom w:val="single" w:color="auto" w:sz="8" w:space="0"/>
            </w:tcBorders>
            <w:vAlign w:val="center"/>
          </w:tcPr>
          <w:p w14:paraId="37E62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2338 ± 60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429" w:type="dxa"/>
            <w:tcBorders>
              <w:bottom w:val="single" w:color="auto" w:sz="8" w:space="0"/>
            </w:tcBorders>
            <w:vAlign w:val="center"/>
          </w:tcPr>
          <w:p w14:paraId="6F20B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214" w:type="dxa"/>
            <w:tcBorders>
              <w:bottom w:val="single" w:color="auto" w:sz="8" w:space="0"/>
            </w:tcBorders>
            <w:shd w:val="clear" w:color="auto" w:fill="auto"/>
            <w:vAlign w:val="center"/>
          </w:tcPr>
          <w:p w14:paraId="12C25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MMD-b</w:t>
            </w:r>
          </w:p>
        </w:tc>
        <w:tc>
          <w:tcPr>
            <w:tcW w:w="1275" w:type="dxa"/>
            <w:tcBorders>
              <w:bottom w:val="single" w:color="auto" w:sz="8" w:space="0"/>
            </w:tcBorders>
            <w:shd w:val="clear" w:color="auto" w:fill="auto"/>
            <w:vAlign w:val="center"/>
          </w:tcPr>
          <w:p w14:paraId="55F6E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 ± 53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8" w:type="dxa"/>
            <w:tcBorders>
              <w:bottom w:val="single" w:color="auto" w:sz="8" w:space="0"/>
            </w:tcBorders>
            <w:shd w:val="clear" w:color="auto" w:fill="auto"/>
            <w:vAlign w:val="center"/>
          </w:tcPr>
          <w:p w14:paraId="63A2E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 ± 0.30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05" w:type="dxa"/>
            <w:tcBorders>
              <w:bottom w:val="single" w:color="auto" w:sz="8" w:space="0"/>
            </w:tcBorders>
            <w:shd w:val="clear" w:color="auto" w:fill="auto"/>
            <w:vAlign w:val="center"/>
          </w:tcPr>
          <w:p w14:paraId="65E0C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 ± 61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95" w:type="dxa"/>
            <w:tcBorders>
              <w:bottom w:val="single" w:color="auto" w:sz="8" w:space="0"/>
            </w:tcBorders>
            <w:shd w:val="clear" w:color="auto" w:fill="auto"/>
            <w:vAlign w:val="center"/>
          </w:tcPr>
          <w:p w14:paraId="40324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bookmarkEnd w:id="4"/>
      <w:tr w14:paraId="0627C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Merge w:val="restart"/>
            <w:tcBorders>
              <w:top w:val="single" w:color="auto" w:sz="12" w:space="0"/>
            </w:tcBorders>
            <w:vAlign w:val="center"/>
          </w:tcPr>
          <w:p w14:paraId="2F6CF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rchaea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7DBC2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ample</w:t>
            </w:r>
          </w:p>
        </w:tc>
        <w:tc>
          <w:tcPr>
            <w:tcW w:w="1410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27058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OTUs</w:t>
            </w:r>
          </w:p>
        </w:tc>
        <w:tc>
          <w:tcPr>
            <w:tcW w:w="1320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4A704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hannon</w:t>
            </w:r>
          </w:p>
        </w:tc>
        <w:tc>
          <w:tcPr>
            <w:tcW w:w="1354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12785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hao</w:t>
            </w:r>
          </w:p>
        </w:tc>
        <w:tc>
          <w:tcPr>
            <w:tcW w:w="1429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52EA7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overage</w:t>
            </w:r>
          </w:p>
        </w:tc>
        <w:tc>
          <w:tcPr>
            <w:tcW w:w="1214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1913E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ample</w:t>
            </w:r>
          </w:p>
        </w:tc>
        <w:tc>
          <w:tcPr>
            <w:tcW w:w="1275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6BA3B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OTUs</w:t>
            </w:r>
          </w:p>
        </w:tc>
        <w:tc>
          <w:tcPr>
            <w:tcW w:w="1328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5E40F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hannon</w:t>
            </w:r>
          </w:p>
        </w:tc>
        <w:tc>
          <w:tcPr>
            <w:tcW w:w="1305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4CCDD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hao</w:t>
            </w:r>
          </w:p>
        </w:tc>
        <w:tc>
          <w:tcPr>
            <w:tcW w:w="1395" w:type="dxa"/>
            <w:tcBorders>
              <w:top w:val="single" w:color="auto" w:sz="12" w:space="0"/>
              <w:bottom w:val="single" w:color="auto" w:sz="8" w:space="0"/>
            </w:tcBorders>
            <w:shd w:val="clear" w:color="auto" w:fill="auto"/>
            <w:vAlign w:val="center"/>
          </w:tcPr>
          <w:p w14:paraId="2D1D2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overage</w:t>
            </w:r>
          </w:p>
        </w:tc>
      </w:tr>
      <w:tr w14:paraId="48BA2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Merge w:val="continue"/>
            <w:vAlign w:val="center"/>
          </w:tcPr>
          <w:p w14:paraId="39241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68" w:type="dxa"/>
            <w:tcBorders>
              <w:top w:val="single" w:color="auto" w:sz="8" w:space="0"/>
            </w:tcBorders>
            <w:vAlign w:val="center"/>
          </w:tcPr>
          <w:p w14:paraId="286C1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TTN-a</w:t>
            </w:r>
          </w:p>
        </w:tc>
        <w:tc>
          <w:tcPr>
            <w:tcW w:w="1410" w:type="dxa"/>
            <w:tcBorders>
              <w:top w:val="single" w:color="auto" w:sz="8" w:space="0"/>
            </w:tcBorders>
            <w:vAlign w:val="center"/>
          </w:tcPr>
          <w:p w14:paraId="1E558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0" w:type="dxa"/>
            <w:tcBorders>
              <w:top w:val="single" w:color="auto" w:sz="8" w:space="0"/>
            </w:tcBorders>
            <w:vAlign w:val="center"/>
          </w:tcPr>
          <w:p w14:paraId="3F2B1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2.51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54" w:type="dxa"/>
            <w:tcBorders>
              <w:top w:val="single" w:color="auto" w:sz="8" w:space="0"/>
            </w:tcBorders>
            <w:vAlign w:val="center"/>
          </w:tcPr>
          <w:p w14:paraId="34C88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429" w:type="dxa"/>
            <w:tcBorders>
              <w:top w:val="single" w:color="auto" w:sz="8" w:space="0"/>
            </w:tcBorders>
            <w:vAlign w:val="center"/>
          </w:tcPr>
          <w:p w14:paraId="48F13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214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9603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TTN-b</w:t>
            </w:r>
          </w:p>
        </w:tc>
        <w:tc>
          <w:tcPr>
            <w:tcW w:w="1275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EE16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e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8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2E42F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1.78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05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7B261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95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09FAC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65560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Merge w:val="continue"/>
            <w:vAlign w:val="center"/>
          </w:tcPr>
          <w:p w14:paraId="2EBB1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68" w:type="dxa"/>
            <w:vAlign w:val="center"/>
          </w:tcPr>
          <w:p w14:paraId="42327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TTD-a</w:t>
            </w:r>
          </w:p>
        </w:tc>
        <w:tc>
          <w:tcPr>
            <w:tcW w:w="1410" w:type="dxa"/>
            <w:vAlign w:val="center"/>
          </w:tcPr>
          <w:p w14:paraId="5A8B1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0" w:type="dxa"/>
            <w:vAlign w:val="center"/>
          </w:tcPr>
          <w:p w14:paraId="77AB1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2.46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54" w:type="dxa"/>
            <w:vAlign w:val="center"/>
          </w:tcPr>
          <w:p w14:paraId="193F2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429" w:type="dxa"/>
            <w:vAlign w:val="center"/>
          </w:tcPr>
          <w:p w14:paraId="18DFF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4C45B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TTD-b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5204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de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700B0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08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23D43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c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165E4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48407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Merge w:val="continue"/>
            <w:vAlign w:val="center"/>
          </w:tcPr>
          <w:p w14:paraId="5F2FF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68" w:type="dxa"/>
            <w:vAlign w:val="center"/>
          </w:tcPr>
          <w:p w14:paraId="373C1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TMN-a</w:t>
            </w:r>
          </w:p>
        </w:tc>
        <w:tc>
          <w:tcPr>
            <w:tcW w:w="1410" w:type="dxa"/>
            <w:vAlign w:val="center"/>
          </w:tcPr>
          <w:p w14:paraId="6A2EA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0" w:type="dxa"/>
            <w:vAlign w:val="center"/>
          </w:tcPr>
          <w:p w14:paraId="7C787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2.53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54" w:type="dxa"/>
            <w:vAlign w:val="center"/>
          </w:tcPr>
          <w:p w14:paraId="56482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429" w:type="dxa"/>
            <w:vAlign w:val="center"/>
          </w:tcPr>
          <w:p w14:paraId="49036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7A6FA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TMN-b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117C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15D6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6065F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78ADC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38AD4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Merge w:val="continue"/>
            <w:vAlign w:val="center"/>
          </w:tcPr>
          <w:p w14:paraId="1278F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68" w:type="dxa"/>
            <w:vAlign w:val="center"/>
          </w:tcPr>
          <w:p w14:paraId="55A7A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TMD-a</w:t>
            </w:r>
          </w:p>
        </w:tc>
        <w:tc>
          <w:tcPr>
            <w:tcW w:w="1410" w:type="dxa"/>
            <w:vAlign w:val="center"/>
          </w:tcPr>
          <w:p w14:paraId="3E9A0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88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0" w:type="dxa"/>
            <w:vAlign w:val="center"/>
          </w:tcPr>
          <w:p w14:paraId="09E2D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2.48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54" w:type="dxa"/>
            <w:vAlign w:val="center"/>
          </w:tcPr>
          <w:p w14:paraId="077BF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429" w:type="dxa"/>
            <w:vAlign w:val="center"/>
          </w:tcPr>
          <w:p w14:paraId="28AF0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3E6DA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TMD-b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EAC2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cd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75987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2.46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31B41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7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bc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3D0CF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11362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Merge w:val="continue"/>
            <w:vAlign w:val="center"/>
          </w:tcPr>
          <w:p w14:paraId="43145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68" w:type="dxa"/>
            <w:vAlign w:val="center"/>
          </w:tcPr>
          <w:p w14:paraId="7F498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MMN-a</w:t>
            </w:r>
          </w:p>
        </w:tc>
        <w:tc>
          <w:tcPr>
            <w:tcW w:w="1410" w:type="dxa"/>
            <w:vAlign w:val="center"/>
          </w:tcPr>
          <w:p w14:paraId="4B849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577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0" w:type="dxa"/>
            <w:vAlign w:val="center"/>
          </w:tcPr>
          <w:p w14:paraId="4BA91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3.85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</w:p>
        </w:tc>
        <w:tc>
          <w:tcPr>
            <w:tcW w:w="1354" w:type="dxa"/>
            <w:vAlign w:val="center"/>
          </w:tcPr>
          <w:p w14:paraId="24880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429" w:type="dxa"/>
            <w:vAlign w:val="center"/>
          </w:tcPr>
          <w:p w14:paraId="197A1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1095C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MMN-b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C125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8" w:type="dxa"/>
            <w:shd w:val="clear" w:color="auto" w:fill="auto"/>
            <w:vAlign w:val="center"/>
          </w:tcPr>
          <w:p w14:paraId="7F69F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42201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029B9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5605E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8" w:type="dxa"/>
            <w:vMerge w:val="continue"/>
            <w:tcBorders>
              <w:bottom w:val="single" w:color="auto" w:sz="12" w:space="0"/>
            </w:tcBorders>
            <w:vAlign w:val="center"/>
          </w:tcPr>
          <w:p w14:paraId="7BD3A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068" w:type="dxa"/>
            <w:tcBorders>
              <w:bottom w:val="single" w:color="auto" w:sz="12" w:space="0"/>
            </w:tcBorders>
            <w:vAlign w:val="center"/>
          </w:tcPr>
          <w:p w14:paraId="44766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MMD-a</w:t>
            </w:r>
          </w:p>
        </w:tc>
        <w:tc>
          <w:tcPr>
            <w:tcW w:w="1410" w:type="dxa"/>
            <w:tcBorders>
              <w:bottom w:val="single" w:color="auto" w:sz="12" w:space="0"/>
            </w:tcBorders>
            <w:vAlign w:val="center"/>
          </w:tcPr>
          <w:p w14:paraId="3327E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0" w:type="dxa"/>
            <w:tcBorders>
              <w:bottom w:val="single" w:color="auto" w:sz="12" w:space="0"/>
            </w:tcBorders>
            <w:vAlign w:val="center"/>
          </w:tcPr>
          <w:p w14:paraId="0FF4D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3.75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54" w:type="dxa"/>
            <w:tcBorders>
              <w:bottom w:val="single" w:color="auto" w:sz="12" w:space="0"/>
            </w:tcBorders>
            <w:vAlign w:val="center"/>
          </w:tcPr>
          <w:p w14:paraId="58C16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429" w:type="dxa"/>
            <w:tcBorders>
              <w:bottom w:val="single" w:color="auto" w:sz="12" w:space="0"/>
            </w:tcBorders>
            <w:vAlign w:val="center"/>
          </w:tcPr>
          <w:p w14:paraId="2F80C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4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47D95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MMD-b</w:t>
            </w:r>
          </w:p>
        </w:tc>
        <w:tc>
          <w:tcPr>
            <w:tcW w:w="1275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28365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28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1F19E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3.45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05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49B7E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ab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395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1724A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± 0.00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</w:tbl>
    <w:p w14:paraId="0B4E9EE4">
      <w:pPr>
        <w:spacing w:line="240" w:lineRule="auto"/>
        <w:ind w:firstLine="0" w:firstLineChars="0"/>
        <w:rPr>
          <w:rFonts w:ascii="Times New Roman" w:hAnsi="Times New Roman" w:eastAsia="宋体" w:cs="Times New Roman"/>
          <w:kern w:val="0"/>
          <w:sz w:val="24"/>
          <w:szCs w:val="24"/>
          <w:vertAlign w:val="superscript"/>
          <w:lang w:bidi="ar"/>
        </w:rPr>
      </w:pPr>
      <w:r>
        <w:rPr>
          <w:rFonts w:ascii="Times New Roman" w:hAnsi="Times New Roman" w:eastAsia="CharisSIL" w:cs="Times New Roman"/>
          <w:kern w:val="0"/>
          <w:sz w:val="24"/>
          <w:szCs w:val="24"/>
          <w:vertAlign w:val="superscript"/>
          <w:lang w:bidi="ar"/>
        </w:rPr>
        <w:t xml:space="preserve">Note: All values are expressed as mean </w:t>
      </w:r>
      <w:r>
        <w:rPr>
          <w:rFonts w:ascii="Times New Roman" w:hAnsi="Times New Roman" w:eastAsia="TeX_CM_Maths_Symbols" w:cs="Times New Roman"/>
          <w:kern w:val="0"/>
          <w:sz w:val="24"/>
          <w:szCs w:val="24"/>
          <w:vertAlign w:val="superscript"/>
          <w:lang w:bidi="ar"/>
        </w:rPr>
        <w:t xml:space="preserve">± </w:t>
      </w:r>
      <w:r>
        <w:rPr>
          <w:rFonts w:ascii="Times New Roman" w:hAnsi="Times New Roman" w:eastAsia="CharisSIL" w:cs="Times New Roman"/>
          <w:kern w:val="0"/>
          <w:sz w:val="24"/>
          <w:szCs w:val="24"/>
          <w:vertAlign w:val="superscript"/>
          <w:lang w:bidi="ar"/>
        </w:rPr>
        <w:t xml:space="preserve">standard deviation (n </w:t>
      </w:r>
      <w:r>
        <w:rPr>
          <w:rFonts w:ascii="Times New Roman" w:hAnsi="Times New Roman" w:eastAsia="TeX_CM_Maths_Symbols" w:cs="Times New Roman"/>
          <w:kern w:val="0"/>
          <w:sz w:val="24"/>
          <w:szCs w:val="24"/>
          <w:vertAlign w:val="superscript"/>
          <w:lang w:bidi="ar"/>
        </w:rPr>
        <w:t>=</w:t>
      </w:r>
      <w:r>
        <w:rPr>
          <w:rFonts w:ascii="Times New Roman" w:hAnsi="Times New Roman" w:eastAsia="CharisSIL" w:cs="Times New Roman"/>
          <w:kern w:val="0"/>
          <w:sz w:val="24"/>
          <w:szCs w:val="24"/>
          <w:vertAlign w:val="superscript"/>
          <w:lang w:bidi="ar"/>
        </w:rPr>
        <w:t>3)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vertAlign w:val="superscript"/>
          <w:lang w:bidi="ar"/>
        </w:rPr>
        <w:t xml:space="preserve">; a, b, c, d, and e were labeled according to Duncan's test. When there were no duplicate labeling symbols between the two groups, they were considered to be significantly different at the </w:t>
      </w:r>
      <w:r>
        <w:rPr>
          <w:rFonts w:hint="eastAsia" w:ascii="Times New Roman" w:hAnsi="Times New Roman" w:eastAsia="宋体" w:cs="Times New Roman"/>
          <w:i/>
          <w:iCs/>
          <w:kern w:val="0"/>
          <w:sz w:val="24"/>
          <w:szCs w:val="24"/>
          <w:vertAlign w:val="superscript"/>
          <w:lang w:bidi="ar"/>
        </w:rPr>
        <w:t>p&lt;0.05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vertAlign w:val="superscript"/>
          <w:lang w:bidi="ar"/>
        </w:rPr>
        <w:t xml:space="preserve"> level.</w:t>
      </w:r>
    </w:p>
    <w:p w14:paraId="0F831C5E">
      <w:pPr>
        <w:spacing w:line="480" w:lineRule="auto"/>
        <w:jc w:val="center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4398E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Table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Changes in the relative abundance of bacteria and archaea under different treatments (a: day 2; b: day 41)</w:t>
      </w:r>
    </w:p>
    <w:tbl>
      <w:tblPr>
        <w:tblStyle w:val="8"/>
        <w:tblW w:w="1560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1528"/>
        <w:gridCol w:w="835"/>
        <w:gridCol w:w="90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7"/>
      </w:tblGrid>
      <w:tr w14:paraId="2A70D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1131" w:type="dxa"/>
            <w:vMerge w:val="restart"/>
            <w:tcBorders>
              <w:top w:val="single" w:color="auto" w:sz="18" w:space="0"/>
            </w:tcBorders>
            <w:vAlign w:val="center"/>
          </w:tcPr>
          <w:p w14:paraId="50557A36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Bacteria</w:t>
            </w:r>
          </w:p>
        </w:tc>
        <w:tc>
          <w:tcPr>
            <w:tcW w:w="1528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4C9B1179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  <w:t>Role of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  <w:t>different treatments</w:t>
            </w:r>
          </w:p>
        </w:tc>
        <w:tc>
          <w:tcPr>
            <w:tcW w:w="835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13E57575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Test</w:t>
            </w:r>
          </w:p>
        </w:tc>
        <w:tc>
          <w:tcPr>
            <w:tcW w:w="90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15E9C3DC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Control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00C6F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Firmicutes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15367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Proteobacteria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6FA85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Actinobacteriota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7BC78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Chloroflexi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4C8A5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Bacteroidota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4AE4F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Patescibacteria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635B1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Coprothermobacterota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4D7E6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Planctomycetota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4D6B1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Acidobacteriota</w:t>
            </w:r>
          </w:p>
        </w:tc>
        <w:tc>
          <w:tcPr>
            <w:tcW w:w="1127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46964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Synergistota</w:t>
            </w:r>
          </w:p>
        </w:tc>
      </w:tr>
      <w:tr w14:paraId="16216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1131" w:type="dxa"/>
            <w:vMerge w:val="continue"/>
            <w:vAlign w:val="center"/>
          </w:tcPr>
          <w:p w14:paraId="24E59A5C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528" w:type="dxa"/>
            <w:vMerge w:val="restart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2C2C432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  <w:t xml:space="preserve">Hydrolysis 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  <w:t>ifference</w:t>
            </w:r>
          </w:p>
        </w:tc>
        <w:tc>
          <w:tcPr>
            <w:tcW w:w="835" w:type="dxa"/>
            <w:tcBorders>
              <w:top w:val="single" w:color="auto" w:sz="12" w:space="0"/>
            </w:tcBorders>
            <w:vAlign w:val="center"/>
          </w:tcPr>
          <w:p w14:paraId="38A6D4AF">
            <w:pPr>
              <w:jc w:val="center"/>
              <w:rPr>
                <w:rFonts w:hint="default" w:ascii="Times New Roman" w:hAnsi="Times New Roman" w:eastAsia="等线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MN-a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vAlign w:val="center"/>
          </w:tcPr>
          <w:p w14:paraId="17730CD3">
            <w:pPr>
              <w:jc w:val="center"/>
              <w:rPr>
                <w:rFonts w:hint="default" w:ascii="Times New Roman" w:hAnsi="Times New Roman" w:eastAsia="等线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MN-a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5AE92C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46.0%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243E9F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-11.1%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4BC8182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0.9%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630E515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-6.4%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443CCD4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-15.8%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57D6620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-4.8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38DAD2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5.7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1B4B2CA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-3.1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29E3825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-4.8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0D93402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-0.9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1C6C4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jc w:val="center"/>
        </w:trPr>
        <w:tc>
          <w:tcPr>
            <w:tcW w:w="1131" w:type="dxa"/>
            <w:vMerge w:val="continue"/>
            <w:vAlign w:val="center"/>
          </w:tcPr>
          <w:p w14:paraId="5DD8CF8E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528" w:type="dxa"/>
            <w:vMerge w:val="continue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12C5D33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835" w:type="dxa"/>
            <w:tcBorders>
              <w:bottom w:val="single" w:color="auto" w:sz="12" w:space="0"/>
            </w:tcBorders>
            <w:vAlign w:val="center"/>
          </w:tcPr>
          <w:p w14:paraId="4BA6F2D0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MD-a</w:t>
            </w:r>
          </w:p>
        </w:tc>
        <w:tc>
          <w:tcPr>
            <w:tcW w:w="900" w:type="dxa"/>
            <w:tcBorders>
              <w:bottom w:val="single" w:color="auto" w:sz="12" w:space="0"/>
            </w:tcBorders>
            <w:vAlign w:val="center"/>
          </w:tcPr>
          <w:p w14:paraId="2BC6E03B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MD-a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6076A04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39.1%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1AFB034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-10.5%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43992A4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4.0%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0C9505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-4.1%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2A299AB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-16.7%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7A148D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-3.3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20FB42E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4.4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2CAA4F7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-1.6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6AC2628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-4.7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3DAE0DF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0CC5A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131" w:type="dxa"/>
            <w:vMerge w:val="continue"/>
            <w:vAlign w:val="center"/>
          </w:tcPr>
          <w:p w14:paraId="59CC6488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28" w:type="dxa"/>
            <w:vMerge w:val="restart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8C46F6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Methanogenesis difference</w:t>
            </w:r>
          </w:p>
        </w:tc>
        <w:tc>
          <w:tcPr>
            <w:tcW w:w="835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55948F97">
            <w:pPr>
              <w:jc w:val="center"/>
              <w:rPr>
                <w:rFonts w:hint="default" w:ascii="Times New Roman" w:hAnsi="Times New Roman" w:eastAsia="等线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highlight w:val="none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highlight w:val="none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highlight w:val="none"/>
                <w:vertAlign w:val="baseline"/>
                <w:lang w:val="en-US" w:eastAsia="zh-CN"/>
              </w:rPr>
              <w:t>N-b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648D6E60">
            <w:pPr>
              <w:jc w:val="center"/>
              <w:rPr>
                <w:rFonts w:hint="default" w:ascii="Times New Roman" w:hAnsi="Times New Roman" w:eastAsia="等线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N-b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0391B56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6.5%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17C409B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-1.8%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52AF26A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1.2%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6714F0F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-3.3%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1D75EE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-3.9%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43E2796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-4.0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4A6C00E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10.4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2DFE8AB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-3.0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0FA8EC6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1F332D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1ACAB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jc w:val="center"/>
        </w:trPr>
        <w:tc>
          <w:tcPr>
            <w:tcW w:w="1131" w:type="dxa"/>
            <w:vMerge w:val="continue"/>
            <w:vAlign w:val="center"/>
          </w:tcPr>
          <w:p w14:paraId="59F615A0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528" w:type="dxa"/>
            <w:vMerge w:val="continue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E26783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835" w:type="dxa"/>
            <w:tcBorders>
              <w:bottom w:val="single" w:color="auto" w:sz="12" w:space="0"/>
            </w:tcBorders>
            <w:vAlign w:val="center"/>
          </w:tcPr>
          <w:p w14:paraId="2AF88036">
            <w:pPr>
              <w:jc w:val="center"/>
              <w:rPr>
                <w:rFonts w:hint="default" w:ascii="Times New Roman" w:hAnsi="Times New Roman" w:eastAsia="等线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D-b</w:t>
            </w:r>
          </w:p>
        </w:tc>
        <w:tc>
          <w:tcPr>
            <w:tcW w:w="900" w:type="dxa"/>
            <w:tcBorders>
              <w:bottom w:val="single" w:color="auto" w:sz="12" w:space="0"/>
            </w:tcBorders>
            <w:vAlign w:val="center"/>
          </w:tcPr>
          <w:p w14:paraId="78877D6D">
            <w:pPr>
              <w:jc w:val="center"/>
              <w:rPr>
                <w:rFonts w:hint="default" w:ascii="Times New Roman" w:hAnsi="Times New Roman" w:eastAsia="等线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D-b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27C30E1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10.6%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0E9CE6A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-14.8%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0CA67A1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4.0%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5979FBC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-1.4%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24A797C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-6.1%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642CC2A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-2.5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64E373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13.4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2946EB5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-1.7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3FF2781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5EE0987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-0.7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352F9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1131" w:type="dxa"/>
            <w:vMerge w:val="continue"/>
            <w:vAlign w:val="center"/>
          </w:tcPr>
          <w:p w14:paraId="2D892D89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28" w:type="dxa"/>
            <w:vMerge w:val="restart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3A9826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  <w:t xml:space="preserve">NBW 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  <w:t>ifference</w:t>
            </w:r>
          </w:p>
        </w:tc>
        <w:tc>
          <w:tcPr>
            <w:tcW w:w="835" w:type="dxa"/>
            <w:tcBorders>
              <w:top w:val="single" w:color="auto" w:sz="12" w:space="0"/>
            </w:tcBorders>
            <w:vAlign w:val="center"/>
          </w:tcPr>
          <w:p w14:paraId="4861B423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TT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-a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vAlign w:val="center"/>
          </w:tcPr>
          <w:p w14:paraId="06E86F26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TT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-a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3957FC3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0.4%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1AAE83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-2.8%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0F1D253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1.0%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260A78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0.3%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30FBFD0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0.1%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4B685FA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5CB3E2A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0.7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444E10D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38088B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top w:val="single" w:color="auto" w:sz="12" w:space="0"/>
            </w:tcBorders>
            <w:vAlign w:val="top"/>
          </w:tcPr>
          <w:p w14:paraId="36D85C7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68E1A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33" w:hRule="atLeast"/>
          <w:jc w:val="center"/>
        </w:trPr>
        <w:tc>
          <w:tcPr>
            <w:tcW w:w="1131" w:type="dxa"/>
            <w:vMerge w:val="continue"/>
            <w:vAlign w:val="center"/>
          </w:tcPr>
          <w:p w14:paraId="63A80280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28" w:type="dxa"/>
            <w:vMerge w:val="continue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1A91D7B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1D7FF46A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TM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-a</w:t>
            </w:r>
          </w:p>
        </w:tc>
        <w:tc>
          <w:tcPr>
            <w:tcW w:w="900" w:type="dxa"/>
            <w:vAlign w:val="center"/>
          </w:tcPr>
          <w:p w14:paraId="730C4219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TM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-a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3A22C11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6.9% </w:t>
            </w:r>
          </w:p>
        </w:tc>
        <w:tc>
          <w:tcPr>
            <w:tcW w:w="1120" w:type="dxa"/>
            <w:shd w:val="clear" w:color="auto" w:fill="FFFFFF"/>
            <w:vAlign w:val="top"/>
          </w:tcPr>
          <w:p w14:paraId="7D733E4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-0.8% 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32F79FF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-2.7% 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17BF1A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-1.8% </w:t>
            </w:r>
          </w:p>
        </w:tc>
        <w:tc>
          <w:tcPr>
            <w:tcW w:w="1120" w:type="dxa"/>
            <w:vAlign w:val="top"/>
          </w:tcPr>
          <w:p w14:paraId="20FA167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-0.6% </w:t>
            </w:r>
          </w:p>
        </w:tc>
        <w:tc>
          <w:tcPr>
            <w:tcW w:w="1120" w:type="dxa"/>
            <w:vAlign w:val="top"/>
          </w:tcPr>
          <w:p w14:paraId="6D14CB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-1.5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vAlign w:val="top"/>
          </w:tcPr>
          <w:p w14:paraId="0A13425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1.3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vAlign w:val="top"/>
          </w:tcPr>
          <w:p w14:paraId="426721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-1.0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vAlign w:val="top"/>
          </w:tcPr>
          <w:p w14:paraId="77394E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vAlign w:val="top"/>
          </w:tcPr>
          <w:p w14:paraId="704B995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6B8E1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  <w:jc w:val="center"/>
        </w:trPr>
        <w:tc>
          <w:tcPr>
            <w:tcW w:w="1131" w:type="dxa"/>
            <w:vMerge w:val="continue"/>
            <w:vAlign w:val="center"/>
          </w:tcPr>
          <w:p w14:paraId="157CCEF4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28" w:type="dxa"/>
            <w:vMerge w:val="continue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2A1C88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35" w:type="dxa"/>
            <w:tcBorders>
              <w:bottom w:val="single" w:color="auto" w:sz="12" w:space="0"/>
            </w:tcBorders>
            <w:vAlign w:val="center"/>
          </w:tcPr>
          <w:p w14:paraId="1825C4B5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MM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-a</w:t>
            </w:r>
          </w:p>
        </w:tc>
        <w:tc>
          <w:tcPr>
            <w:tcW w:w="900" w:type="dxa"/>
            <w:tcBorders>
              <w:bottom w:val="single" w:color="auto" w:sz="12" w:space="0"/>
            </w:tcBorders>
            <w:vAlign w:val="center"/>
          </w:tcPr>
          <w:p w14:paraId="5DEBE605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MM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-a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FFFFFF"/>
            <w:vAlign w:val="center"/>
          </w:tcPr>
          <w:p w14:paraId="195B6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0.0%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FFFFFF"/>
            <w:vAlign w:val="center"/>
          </w:tcPr>
          <w:p w14:paraId="79243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-0.2%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FFFFFF"/>
            <w:vAlign w:val="center"/>
          </w:tcPr>
          <w:p w14:paraId="39448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0.4%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FFFFFF"/>
            <w:vAlign w:val="center"/>
          </w:tcPr>
          <w:p w14:paraId="76752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0.5%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26BE6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-1.5%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142B7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32D77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5B2E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0918D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7B87B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58C76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1131" w:type="dxa"/>
            <w:vMerge w:val="continue"/>
            <w:vAlign w:val="center"/>
          </w:tcPr>
          <w:p w14:paraId="345E7B9D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28" w:type="dxa"/>
            <w:vMerge w:val="continue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9095CE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auto" w:sz="12" w:space="0"/>
            </w:tcBorders>
            <w:vAlign w:val="center"/>
          </w:tcPr>
          <w:p w14:paraId="0DEE5F87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highlight w:val="none"/>
                <w:vertAlign w:val="baseline"/>
                <w:lang w:val="en-US" w:eastAsia="zh-CN"/>
              </w:rPr>
              <w:t>TT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highlight w:val="none"/>
                <w:vertAlign w:val="baseli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highlight w:val="none"/>
                <w:vertAlign w:val="baseline"/>
                <w:lang w:val="en-US" w:eastAsia="zh-CN"/>
              </w:rPr>
              <w:t>-b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vAlign w:val="center"/>
          </w:tcPr>
          <w:p w14:paraId="4CC3C1F5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TT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-b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4876772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4.6%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1E3C0C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-0.1%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7D9CBC8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-0.1%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4D17406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-1.8%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2DB0628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-0.1%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4648101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7BBC0D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-1.3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11FCD2A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493A354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top w:val="single" w:color="auto" w:sz="12" w:space="0"/>
            </w:tcBorders>
            <w:vAlign w:val="top"/>
          </w:tcPr>
          <w:p w14:paraId="6B3148C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069F7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131" w:type="dxa"/>
            <w:vMerge w:val="continue"/>
            <w:vAlign w:val="center"/>
          </w:tcPr>
          <w:p w14:paraId="7D54D904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1528" w:type="dxa"/>
            <w:vMerge w:val="continue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B9F1239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835" w:type="dxa"/>
            <w:vAlign w:val="center"/>
          </w:tcPr>
          <w:p w14:paraId="7B27ED70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TM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-b</w:t>
            </w:r>
          </w:p>
        </w:tc>
        <w:tc>
          <w:tcPr>
            <w:tcW w:w="900" w:type="dxa"/>
            <w:vAlign w:val="center"/>
          </w:tcPr>
          <w:p w14:paraId="1B25DF7A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TM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-b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08F80B4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8.7% 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04EEF3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-13.1% 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3399D9B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2.7% </w:t>
            </w:r>
          </w:p>
        </w:tc>
        <w:tc>
          <w:tcPr>
            <w:tcW w:w="1120" w:type="dxa"/>
            <w:vAlign w:val="top"/>
          </w:tcPr>
          <w:p w14:paraId="4D07FA3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0.1% 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41EC7C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-2.3% 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42064BB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1.2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677B67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1.8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1A90C64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0.9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5613281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shd w:val="clear" w:color="auto" w:fill="auto"/>
            <w:vAlign w:val="top"/>
          </w:tcPr>
          <w:p w14:paraId="40CAD47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50890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1131" w:type="dxa"/>
            <w:vMerge w:val="continue"/>
            <w:tcBorders>
              <w:bottom w:val="single" w:color="auto" w:sz="18" w:space="0"/>
            </w:tcBorders>
            <w:vAlign w:val="center"/>
          </w:tcPr>
          <w:p w14:paraId="53DA11DC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1528" w:type="dxa"/>
            <w:vMerge w:val="continue"/>
            <w:tcBorders>
              <w:top w:val="single" w:color="auto" w:sz="12" w:space="0"/>
              <w:bottom w:val="single" w:color="auto" w:sz="18" w:space="0"/>
            </w:tcBorders>
            <w:vAlign w:val="center"/>
          </w:tcPr>
          <w:p w14:paraId="25BD8AB1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835" w:type="dxa"/>
            <w:tcBorders>
              <w:bottom w:val="single" w:color="auto" w:sz="18" w:space="0"/>
            </w:tcBorders>
            <w:vAlign w:val="center"/>
          </w:tcPr>
          <w:p w14:paraId="329B2806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MM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-b</w:t>
            </w:r>
          </w:p>
        </w:tc>
        <w:tc>
          <w:tcPr>
            <w:tcW w:w="900" w:type="dxa"/>
            <w:tcBorders>
              <w:bottom w:val="single" w:color="auto" w:sz="18" w:space="0"/>
            </w:tcBorders>
            <w:vAlign w:val="center"/>
          </w:tcPr>
          <w:p w14:paraId="31CCE337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MM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-b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vAlign w:val="center"/>
          </w:tcPr>
          <w:p w14:paraId="40B3F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0.7% 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5EA2C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-5.2% 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vAlign w:val="center"/>
          </w:tcPr>
          <w:p w14:paraId="0D5B9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0.0% 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vAlign w:val="center"/>
          </w:tcPr>
          <w:p w14:paraId="26BD7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-0.2% 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4C737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2.3% 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1DCDB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0.9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42205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502A4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-1.1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24079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45601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4FEA4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1131" w:type="dxa"/>
            <w:vMerge w:val="restart"/>
            <w:tcBorders>
              <w:top w:val="single" w:color="auto" w:sz="18" w:space="0"/>
            </w:tcBorders>
            <w:vAlign w:val="center"/>
          </w:tcPr>
          <w:p w14:paraId="41813A6A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Archaea</w:t>
            </w:r>
          </w:p>
        </w:tc>
        <w:tc>
          <w:tcPr>
            <w:tcW w:w="1528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5F9A8EEB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  <w:t>Role of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  <w:t>different treatments</w:t>
            </w:r>
          </w:p>
        </w:tc>
        <w:tc>
          <w:tcPr>
            <w:tcW w:w="835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69D2677D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Test</w:t>
            </w:r>
          </w:p>
        </w:tc>
        <w:tc>
          <w:tcPr>
            <w:tcW w:w="90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2A73FB0E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Control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0FD8A06C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  <w:t>Methanothermobacter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7CAF97D5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  <w:t>Methanosaeta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48E06CD7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  <w:t>Methanosarcina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34442A2E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  <w:t>Methanobacterium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2667449A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  <w:t>Methanospirillum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329B0058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  <w:t>Methanobrevibacter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580E77F6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  <w:t>Methanomassillicoccus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47116CE7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  <w:t>Methanocorpusculum</w:t>
            </w:r>
          </w:p>
        </w:tc>
        <w:tc>
          <w:tcPr>
            <w:tcW w:w="1120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139D017C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  <w:t>Methanomethylovorans</w:t>
            </w:r>
          </w:p>
        </w:tc>
        <w:tc>
          <w:tcPr>
            <w:tcW w:w="1127" w:type="dxa"/>
            <w:tcBorders>
              <w:top w:val="single" w:color="auto" w:sz="18" w:space="0"/>
              <w:bottom w:val="single" w:color="auto" w:sz="12" w:space="0"/>
            </w:tcBorders>
            <w:vAlign w:val="center"/>
          </w:tcPr>
          <w:p w14:paraId="19B21EEB">
            <w:pPr>
              <w:keepNext w:val="0"/>
              <w:keepLines w:val="0"/>
              <w:widowControl/>
              <w:suppressLineNumbers w:val="0"/>
              <w:ind w:left="0" w:left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000000"/>
                <w:w w:val="100"/>
                <w:kern w:val="0"/>
                <w:sz w:val="18"/>
                <w:szCs w:val="18"/>
                <w:u w:val="none"/>
                <w:lang w:val="en-US" w:eastAsia="zh-CN" w:bidi="ar"/>
              </w:rPr>
              <w:t>Methanosphaerula</w:t>
            </w:r>
          </w:p>
        </w:tc>
      </w:tr>
      <w:tr w14:paraId="16F4B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  <w:jc w:val="center"/>
        </w:trPr>
        <w:tc>
          <w:tcPr>
            <w:tcW w:w="1131" w:type="dxa"/>
            <w:vMerge w:val="continue"/>
            <w:vAlign w:val="center"/>
          </w:tcPr>
          <w:p w14:paraId="4C715826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528" w:type="dxa"/>
            <w:vMerge w:val="restart"/>
            <w:tcBorders>
              <w:top w:val="single" w:color="auto" w:sz="12" w:space="0"/>
              <w:bottom w:val="single" w:color="000000" w:sz="6" w:space="0"/>
            </w:tcBorders>
            <w:vAlign w:val="center"/>
          </w:tcPr>
          <w:p w14:paraId="75E263BF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  <w:t xml:space="preserve">Hydrolysis 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  <w:t>ifference</w:t>
            </w:r>
          </w:p>
        </w:tc>
        <w:tc>
          <w:tcPr>
            <w:tcW w:w="835" w:type="dxa"/>
            <w:tcBorders>
              <w:top w:val="single" w:color="auto" w:sz="12" w:space="0"/>
            </w:tcBorders>
            <w:vAlign w:val="center"/>
          </w:tcPr>
          <w:p w14:paraId="275849B3">
            <w:pPr>
              <w:jc w:val="center"/>
              <w:rPr>
                <w:rFonts w:hint="default" w:ascii="Times New Roman" w:hAnsi="Times New Roman" w:eastAsia="等线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MN-a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vAlign w:val="center"/>
          </w:tcPr>
          <w:p w14:paraId="7B71A16A">
            <w:pPr>
              <w:jc w:val="center"/>
              <w:rPr>
                <w:rFonts w:hint="default" w:ascii="Times New Roman" w:hAnsi="Times New Roman" w:eastAsia="等线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MN-a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15B3A2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17.9%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611854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-14.8%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6CD1F6D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4.2%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696BD9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-7.9%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17E9623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 xml:space="preserve">-1.2%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1B24D42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-1.8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4B28F31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-0.2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77571E9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-0.2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64AD24A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5623725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597DA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131" w:type="dxa"/>
            <w:vMerge w:val="continue"/>
            <w:vAlign w:val="center"/>
          </w:tcPr>
          <w:p w14:paraId="03E724EE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528" w:type="dxa"/>
            <w:vMerge w:val="continue"/>
            <w:tcBorders>
              <w:top w:val="single" w:color="000000" w:sz="6" w:space="0"/>
              <w:bottom w:val="single" w:color="auto" w:sz="12" w:space="0"/>
            </w:tcBorders>
            <w:vAlign w:val="center"/>
          </w:tcPr>
          <w:p w14:paraId="6D1C3842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835" w:type="dxa"/>
            <w:tcBorders>
              <w:bottom w:val="single" w:color="auto" w:sz="12" w:space="0"/>
            </w:tcBorders>
            <w:vAlign w:val="center"/>
          </w:tcPr>
          <w:p w14:paraId="6DD6BE61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MD-a</w:t>
            </w:r>
          </w:p>
        </w:tc>
        <w:tc>
          <w:tcPr>
            <w:tcW w:w="900" w:type="dxa"/>
            <w:tcBorders>
              <w:bottom w:val="single" w:color="auto" w:sz="12" w:space="0"/>
            </w:tcBorders>
            <w:vAlign w:val="center"/>
          </w:tcPr>
          <w:p w14:paraId="2068B3DC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MD-a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2C13505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31.6%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1B89B86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-11.3%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75C7267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3.0%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0B1CCDE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-8.6%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FFFFFF"/>
            <w:vAlign w:val="top"/>
          </w:tcPr>
          <w:p w14:paraId="173C606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-0.5%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FFFFFF"/>
            <w:vAlign w:val="top"/>
          </w:tcPr>
          <w:p w14:paraId="6A3C2E2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-1.4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FFFFFF"/>
            <w:vAlign w:val="top"/>
          </w:tcPr>
          <w:p w14:paraId="2E73736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FFFFFF"/>
            <w:vAlign w:val="top"/>
          </w:tcPr>
          <w:p w14:paraId="2A2D7D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FFFFFF"/>
            <w:vAlign w:val="top"/>
          </w:tcPr>
          <w:p w14:paraId="16E5572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bottom w:val="single" w:color="auto" w:sz="12" w:space="0"/>
            </w:tcBorders>
            <w:shd w:val="clear" w:color="auto" w:fill="FFFFFF"/>
            <w:vAlign w:val="top"/>
          </w:tcPr>
          <w:p w14:paraId="4A2E6F6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547D8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1131" w:type="dxa"/>
            <w:vMerge w:val="continue"/>
            <w:vAlign w:val="center"/>
          </w:tcPr>
          <w:p w14:paraId="2BD9ED5E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28" w:type="dxa"/>
            <w:vMerge w:val="restart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AD85B9E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Methanogenesis difference</w:t>
            </w:r>
          </w:p>
        </w:tc>
        <w:tc>
          <w:tcPr>
            <w:tcW w:w="835" w:type="dxa"/>
            <w:tcBorders>
              <w:top w:val="single" w:color="auto" w:sz="12" w:space="0"/>
              <w:bottom w:val="nil"/>
            </w:tcBorders>
            <w:shd w:val="clear" w:color="auto" w:fill="auto"/>
            <w:vAlign w:val="center"/>
          </w:tcPr>
          <w:p w14:paraId="7BC17C91">
            <w:pPr>
              <w:jc w:val="center"/>
              <w:rPr>
                <w:rFonts w:hint="default" w:ascii="Times New Roman" w:hAnsi="Times New Roman" w:eastAsia="等线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N-b</w:t>
            </w:r>
          </w:p>
        </w:tc>
        <w:tc>
          <w:tcPr>
            <w:tcW w:w="900" w:type="dxa"/>
            <w:tcBorders>
              <w:top w:val="single" w:color="auto" w:sz="12" w:space="0"/>
              <w:bottom w:val="nil"/>
            </w:tcBorders>
            <w:shd w:val="clear" w:color="auto" w:fill="auto"/>
            <w:vAlign w:val="center"/>
          </w:tcPr>
          <w:p w14:paraId="445F0696">
            <w:pPr>
              <w:jc w:val="center"/>
              <w:rPr>
                <w:rFonts w:hint="default" w:ascii="Times New Roman" w:hAnsi="Times New Roman" w:eastAsia="等线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N-b</w:t>
            </w:r>
          </w:p>
        </w:tc>
        <w:tc>
          <w:tcPr>
            <w:tcW w:w="1120" w:type="dxa"/>
            <w:tcBorders>
              <w:top w:val="single" w:color="auto" w:sz="12" w:space="0"/>
              <w:bottom w:val="nil"/>
            </w:tcBorders>
            <w:shd w:val="clear" w:color="auto" w:fill="auto"/>
            <w:vAlign w:val="top"/>
          </w:tcPr>
          <w:p w14:paraId="1E0AEC2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4.5% </w:t>
            </w:r>
          </w:p>
        </w:tc>
        <w:tc>
          <w:tcPr>
            <w:tcW w:w="1120" w:type="dxa"/>
            <w:tcBorders>
              <w:top w:val="single" w:color="auto" w:sz="12" w:space="0"/>
              <w:bottom w:val="nil"/>
            </w:tcBorders>
            <w:shd w:val="clear" w:color="auto" w:fill="auto"/>
            <w:vAlign w:val="top"/>
          </w:tcPr>
          <w:p w14:paraId="02EFADC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-7.9% </w:t>
            </w:r>
          </w:p>
        </w:tc>
        <w:tc>
          <w:tcPr>
            <w:tcW w:w="1120" w:type="dxa"/>
            <w:tcBorders>
              <w:top w:val="single" w:color="auto" w:sz="12" w:space="0"/>
              <w:bottom w:val="nil"/>
            </w:tcBorders>
            <w:shd w:val="clear" w:color="auto" w:fill="auto"/>
            <w:vAlign w:val="top"/>
          </w:tcPr>
          <w:p w14:paraId="46D5F7D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1.6% </w:t>
            </w:r>
          </w:p>
        </w:tc>
        <w:tc>
          <w:tcPr>
            <w:tcW w:w="1120" w:type="dxa"/>
            <w:tcBorders>
              <w:top w:val="single" w:color="auto" w:sz="12" w:space="0"/>
              <w:bottom w:val="nil"/>
            </w:tcBorders>
            <w:shd w:val="clear" w:color="auto" w:fill="auto"/>
            <w:vAlign w:val="top"/>
          </w:tcPr>
          <w:p w14:paraId="0BCCB49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-4.2% </w:t>
            </w:r>
          </w:p>
        </w:tc>
        <w:tc>
          <w:tcPr>
            <w:tcW w:w="1120" w:type="dxa"/>
            <w:tcBorders>
              <w:top w:val="single" w:color="auto" w:sz="12" w:space="0"/>
              <w:bottom w:val="nil"/>
            </w:tcBorders>
            <w:shd w:val="clear" w:color="auto" w:fill="auto"/>
            <w:vAlign w:val="top"/>
          </w:tcPr>
          <w:p w14:paraId="6429B6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-0.8% </w:t>
            </w:r>
          </w:p>
        </w:tc>
        <w:tc>
          <w:tcPr>
            <w:tcW w:w="1120" w:type="dxa"/>
            <w:tcBorders>
              <w:top w:val="single" w:color="auto" w:sz="12" w:space="0"/>
              <w:bottom w:val="nil"/>
            </w:tcBorders>
            <w:shd w:val="clear" w:color="auto" w:fill="auto"/>
            <w:vAlign w:val="top"/>
          </w:tcPr>
          <w:p w14:paraId="44019D7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  <w:bottom w:val="nil"/>
            </w:tcBorders>
            <w:shd w:val="clear" w:color="auto" w:fill="auto"/>
            <w:vAlign w:val="top"/>
          </w:tcPr>
          <w:p w14:paraId="4B25139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  <w:bottom w:val="nil"/>
            </w:tcBorders>
            <w:shd w:val="clear" w:color="auto" w:fill="auto"/>
            <w:vAlign w:val="top"/>
          </w:tcPr>
          <w:p w14:paraId="412630E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  <w:bottom w:val="nil"/>
            </w:tcBorders>
            <w:shd w:val="clear" w:color="auto" w:fill="auto"/>
            <w:vAlign w:val="top"/>
          </w:tcPr>
          <w:p w14:paraId="29EFB72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top w:val="single" w:color="auto" w:sz="12" w:space="0"/>
              <w:bottom w:val="nil"/>
            </w:tcBorders>
            <w:shd w:val="clear" w:color="auto" w:fill="auto"/>
            <w:vAlign w:val="top"/>
          </w:tcPr>
          <w:p w14:paraId="4202A6F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6FA0F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131" w:type="dxa"/>
            <w:vMerge w:val="continue"/>
            <w:vAlign w:val="center"/>
          </w:tcPr>
          <w:p w14:paraId="75A45393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528" w:type="dxa"/>
            <w:vMerge w:val="continue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C5106B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835" w:type="dxa"/>
            <w:tcBorders>
              <w:bottom w:val="single" w:color="auto" w:sz="12" w:space="0"/>
            </w:tcBorders>
            <w:vAlign w:val="center"/>
          </w:tcPr>
          <w:p w14:paraId="4688114B">
            <w:pPr>
              <w:jc w:val="center"/>
              <w:rPr>
                <w:rFonts w:hint="default" w:ascii="Times New Roman" w:hAnsi="Times New Roman" w:eastAsia="等线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D-b</w:t>
            </w:r>
          </w:p>
        </w:tc>
        <w:tc>
          <w:tcPr>
            <w:tcW w:w="900" w:type="dxa"/>
            <w:tcBorders>
              <w:bottom w:val="single" w:color="auto" w:sz="12" w:space="0"/>
            </w:tcBorders>
            <w:vAlign w:val="center"/>
          </w:tcPr>
          <w:p w14:paraId="425C736A">
            <w:pPr>
              <w:jc w:val="center"/>
              <w:rPr>
                <w:rFonts w:hint="default" w:ascii="Times New Roman" w:hAnsi="Times New Roman" w:eastAsia="等线" w:cs="Times New Roman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M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D-b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0B03D42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0.1%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5E95E59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-10.7%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vAlign w:val="top"/>
          </w:tcPr>
          <w:p w14:paraId="23BBCE7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0.1%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51ED8D6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-6.1%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734066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-1.2%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4F23E0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-0.6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23A7990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-0.2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74BADE5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76A0E3D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-0.1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4C653DC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70C25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" w:hRule="atLeast"/>
          <w:jc w:val="center"/>
        </w:trPr>
        <w:tc>
          <w:tcPr>
            <w:tcW w:w="1131" w:type="dxa"/>
            <w:vMerge w:val="continue"/>
            <w:vAlign w:val="center"/>
          </w:tcPr>
          <w:p w14:paraId="4FA3B8C3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28" w:type="dxa"/>
            <w:vMerge w:val="restart"/>
            <w:tcBorders>
              <w:top w:val="single" w:color="auto" w:sz="12" w:space="0"/>
              <w:bottom w:val="nil"/>
            </w:tcBorders>
            <w:vAlign w:val="center"/>
          </w:tcPr>
          <w:p w14:paraId="02C21096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  <w:t xml:space="preserve">NBW 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  <w:t>ifference</w:t>
            </w:r>
          </w:p>
        </w:tc>
        <w:tc>
          <w:tcPr>
            <w:tcW w:w="835" w:type="dxa"/>
            <w:tcBorders>
              <w:top w:val="single" w:color="auto" w:sz="12" w:space="0"/>
            </w:tcBorders>
            <w:vAlign w:val="center"/>
          </w:tcPr>
          <w:p w14:paraId="07B664C4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TT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-a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vAlign w:val="center"/>
          </w:tcPr>
          <w:p w14:paraId="66B88D15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TT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-a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70C718E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2.6%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6951F7B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0.2%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5703D9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4.4%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374A6C1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0.4%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223216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0.0%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27620A0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5422367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0B6747F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59D095A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top w:val="single" w:color="auto" w:sz="12" w:space="0"/>
            </w:tcBorders>
            <w:vAlign w:val="top"/>
          </w:tcPr>
          <w:p w14:paraId="556EECF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4EC06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1131" w:type="dxa"/>
            <w:vMerge w:val="continue"/>
            <w:vAlign w:val="center"/>
          </w:tcPr>
          <w:p w14:paraId="31A45BE1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28" w:type="dxa"/>
            <w:vMerge w:val="continue"/>
            <w:tcBorders>
              <w:top w:val="single" w:color="auto" w:sz="12" w:space="0"/>
              <w:bottom w:val="nil"/>
            </w:tcBorders>
            <w:vAlign w:val="center"/>
          </w:tcPr>
          <w:p w14:paraId="4271FB94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631FA728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TM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-a</w:t>
            </w:r>
          </w:p>
        </w:tc>
        <w:tc>
          <w:tcPr>
            <w:tcW w:w="900" w:type="dxa"/>
            <w:vAlign w:val="center"/>
          </w:tcPr>
          <w:p w14:paraId="34D2E13B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TM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-a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62955C2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-13.4% </w:t>
            </w:r>
          </w:p>
        </w:tc>
        <w:tc>
          <w:tcPr>
            <w:tcW w:w="1120" w:type="dxa"/>
            <w:shd w:val="clear" w:color="auto" w:fill="FFFFFF"/>
            <w:vAlign w:val="top"/>
          </w:tcPr>
          <w:p w14:paraId="4096DDD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-0.3% 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5F3DBA6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1.4% </w:t>
            </w:r>
          </w:p>
        </w:tc>
        <w:tc>
          <w:tcPr>
            <w:tcW w:w="1120" w:type="dxa"/>
            <w:vAlign w:val="top"/>
          </w:tcPr>
          <w:p w14:paraId="4203C0C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-0.5% </w:t>
            </w:r>
          </w:p>
        </w:tc>
        <w:tc>
          <w:tcPr>
            <w:tcW w:w="1120" w:type="dxa"/>
            <w:vAlign w:val="top"/>
          </w:tcPr>
          <w:p w14:paraId="5B8B3C0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0.0% </w:t>
            </w:r>
          </w:p>
        </w:tc>
        <w:tc>
          <w:tcPr>
            <w:tcW w:w="1120" w:type="dxa"/>
            <w:vAlign w:val="top"/>
          </w:tcPr>
          <w:p w14:paraId="14526EF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vAlign w:val="top"/>
          </w:tcPr>
          <w:p w14:paraId="1915118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vAlign w:val="top"/>
          </w:tcPr>
          <w:p w14:paraId="6DD8D36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vAlign w:val="top"/>
          </w:tcPr>
          <w:p w14:paraId="154BBA9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vAlign w:val="top"/>
          </w:tcPr>
          <w:p w14:paraId="37DF99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0FE63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1" w:type="dxa"/>
            <w:vMerge w:val="continue"/>
            <w:vAlign w:val="center"/>
          </w:tcPr>
          <w:p w14:paraId="5BC6FFBC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28" w:type="dxa"/>
            <w:vMerge w:val="continue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0E262C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35" w:type="dxa"/>
            <w:tcBorders>
              <w:bottom w:val="single" w:color="auto" w:sz="12" w:space="0"/>
            </w:tcBorders>
            <w:vAlign w:val="center"/>
          </w:tcPr>
          <w:p w14:paraId="643E08D5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MM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-a</w:t>
            </w:r>
          </w:p>
        </w:tc>
        <w:tc>
          <w:tcPr>
            <w:tcW w:w="900" w:type="dxa"/>
            <w:tcBorders>
              <w:bottom w:val="single" w:color="auto" w:sz="12" w:space="0"/>
            </w:tcBorders>
            <w:vAlign w:val="center"/>
          </w:tcPr>
          <w:p w14:paraId="52CEFBBD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MM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-a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FFFFFF"/>
            <w:vAlign w:val="center"/>
          </w:tcPr>
          <w:p w14:paraId="75EBD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0.3%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27BEC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3.2%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FFFFFF"/>
            <w:vAlign w:val="center"/>
          </w:tcPr>
          <w:p w14:paraId="0714D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0.2%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5C491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-1.1%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vAlign w:val="center"/>
          </w:tcPr>
          <w:p w14:paraId="16CF1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0.6% 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vAlign w:val="center"/>
          </w:tcPr>
          <w:p w14:paraId="08083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vAlign w:val="center"/>
          </w:tcPr>
          <w:p w14:paraId="31C09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vAlign w:val="center"/>
          </w:tcPr>
          <w:p w14:paraId="47759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2" w:space="0"/>
            </w:tcBorders>
            <w:vAlign w:val="center"/>
          </w:tcPr>
          <w:p w14:paraId="454DA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bottom w:val="single" w:color="auto" w:sz="12" w:space="0"/>
            </w:tcBorders>
            <w:vAlign w:val="center"/>
          </w:tcPr>
          <w:p w14:paraId="35655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1FA99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  <w:jc w:val="center"/>
        </w:trPr>
        <w:tc>
          <w:tcPr>
            <w:tcW w:w="1131" w:type="dxa"/>
            <w:vMerge w:val="continue"/>
            <w:vAlign w:val="center"/>
          </w:tcPr>
          <w:p w14:paraId="5DD9852F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28" w:type="dxa"/>
            <w:vMerge w:val="continue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1647F84">
            <w:pPr>
              <w:jc w:val="center"/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auto" w:sz="12" w:space="0"/>
            </w:tcBorders>
            <w:vAlign w:val="center"/>
          </w:tcPr>
          <w:p w14:paraId="27BB9071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TT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-b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vAlign w:val="center"/>
          </w:tcPr>
          <w:p w14:paraId="1A30DC17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TT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-b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083C828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4.6%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381F958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0.9%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shd w:val="clear" w:color="auto" w:fill="auto"/>
            <w:vAlign w:val="top"/>
          </w:tcPr>
          <w:p w14:paraId="7EC1262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-2.0%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60B8034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0.8%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36F3A6C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0.0% 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76BC8A2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27E446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7398506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top w:val="single" w:color="auto" w:sz="12" w:space="0"/>
            </w:tcBorders>
            <w:vAlign w:val="top"/>
          </w:tcPr>
          <w:p w14:paraId="515AA2C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top w:val="single" w:color="auto" w:sz="12" w:space="0"/>
            </w:tcBorders>
            <w:vAlign w:val="top"/>
          </w:tcPr>
          <w:p w14:paraId="3D787B4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32444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" w:hRule="atLeast"/>
          <w:jc w:val="center"/>
        </w:trPr>
        <w:tc>
          <w:tcPr>
            <w:tcW w:w="1131" w:type="dxa"/>
            <w:vMerge w:val="continue"/>
            <w:vAlign w:val="center"/>
          </w:tcPr>
          <w:p w14:paraId="53D7C1AD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1528" w:type="dxa"/>
            <w:vMerge w:val="continue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8D18317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835" w:type="dxa"/>
            <w:vAlign w:val="center"/>
          </w:tcPr>
          <w:p w14:paraId="67CCED9F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TM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-b</w:t>
            </w:r>
          </w:p>
        </w:tc>
        <w:tc>
          <w:tcPr>
            <w:tcW w:w="900" w:type="dxa"/>
            <w:vAlign w:val="center"/>
          </w:tcPr>
          <w:p w14:paraId="2351C28C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TM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-b</w:t>
            </w:r>
          </w:p>
        </w:tc>
        <w:tc>
          <w:tcPr>
            <w:tcW w:w="1120" w:type="dxa"/>
            <w:vAlign w:val="top"/>
          </w:tcPr>
          <w:p w14:paraId="3CB8BA3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0.2% 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5E48C59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-1.9% 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41F72B2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-3.5% </w:t>
            </w:r>
          </w:p>
        </w:tc>
        <w:tc>
          <w:tcPr>
            <w:tcW w:w="1120" w:type="dxa"/>
            <w:shd w:val="clear" w:color="auto" w:fill="auto"/>
            <w:vAlign w:val="top"/>
          </w:tcPr>
          <w:p w14:paraId="3EB7A58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-1.1% </w:t>
            </w:r>
          </w:p>
        </w:tc>
        <w:tc>
          <w:tcPr>
            <w:tcW w:w="1120" w:type="dxa"/>
            <w:vAlign w:val="top"/>
          </w:tcPr>
          <w:p w14:paraId="3927007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-0.4% </w:t>
            </w:r>
          </w:p>
        </w:tc>
        <w:tc>
          <w:tcPr>
            <w:tcW w:w="1120" w:type="dxa"/>
            <w:vAlign w:val="top"/>
          </w:tcPr>
          <w:p w14:paraId="59A8DD0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vAlign w:val="top"/>
          </w:tcPr>
          <w:p w14:paraId="209142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vAlign w:val="top"/>
          </w:tcPr>
          <w:p w14:paraId="3FF9BD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vAlign w:val="top"/>
          </w:tcPr>
          <w:p w14:paraId="6BCB686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vAlign w:val="top"/>
          </w:tcPr>
          <w:p w14:paraId="55A8B9E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  <w:tr w14:paraId="75D7D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  <w:jc w:val="center"/>
        </w:trPr>
        <w:tc>
          <w:tcPr>
            <w:tcW w:w="1131" w:type="dxa"/>
            <w:vMerge w:val="continue"/>
            <w:tcBorders>
              <w:bottom w:val="single" w:color="auto" w:sz="18" w:space="0"/>
            </w:tcBorders>
            <w:vAlign w:val="center"/>
          </w:tcPr>
          <w:p w14:paraId="3F6A07C7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1528" w:type="dxa"/>
            <w:vMerge w:val="continue"/>
            <w:tcBorders>
              <w:top w:val="single" w:color="auto" w:sz="12" w:space="0"/>
              <w:bottom w:val="single" w:color="auto" w:sz="18" w:space="0"/>
            </w:tcBorders>
            <w:vAlign w:val="center"/>
          </w:tcPr>
          <w:p w14:paraId="340A749F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</w:rPr>
            </w:pPr>
          </w:p>
        </w:tc>
        <w:tc>
          <w:tcPr>
            <w:tcW w:w="835" w:type="dxa"/>
            <w:tcBorders>
              <w:bottom w:val="single" w:color="auto" w:sz="18" w:space="0"/>
            </w:tcBorders>
            <w:vAlign w:val="center"/>
          </w:tcPr>
          <w:p w14:paraId="1BD673BD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MM</w:t>
            </w:r>
            <w:r>
              <w:rPr>
                <w:rFonts w:hint="default" w:ascii="Times New Roman" w:hAnsi="Times New Roman" w:eastAsia="等线" w:cs="Times New Roman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-b</w:t>
            </w:r>
          </w:p>
        </w:tc>
        <w:tc>
          <w:tcPr>
            <w:tcW w:w="900" w:type="dxa"/>
            <w:tcBorders>
              <w:bottom w:val="single" w:color="auto" w:sz="18" w:space="0"/>
            </w:tcBorders>
            <w:vAlign w:val="center"/>
          </w:tcPr>
          <w:p w14:paraId="2410CFF7">
            <w:pPr>
              <w:jc w:val="center"/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MM</w:t>
            </w:r>
            <w:r>
              <w:rPr>
                <w:rFonts w:hint="default" w:ascii="Times New Roman" w:hAnsi="Times New Roman" w:eastAsia="等线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等线" w:cs="Times New Roman"/>
                <w:sz w:val="18"/>
                <w:szCs w:val="18"/>
                <w:vertAlign w:val="baseline"/>
                <w:lang w:val="en-US" w:eastAsia="zh-CN"/>
              </w:rPr>
              <w:t>-b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vAlign w:val="center"/>
          </w:tcPr>
          <w:p w14:paraId="6DBFA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-0.2% 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45690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-3.1% 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55741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-1.8% 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vAlign w:val="center"/>
          </w:tcPr>
          <w:p w14:paraId="2C2E0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0.3% 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0B862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bCs w:val="0"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-1.1% 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0F192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157E4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4F41E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-0.1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0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3AC01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  <w:tc>
          <w:tcPr>
            <w:tcW w:w="1127" w:type="dxa"/>
            <w:tcBorders>
              <w:bottom w:val="single" w:color="auto" w:sz="18" w:space="0"/>
            </w:tcBorders>
            <w:shd w:val="clear" w:color="auto" w:fill="auto"/>
            <w:vAlign w:val="center"/>
          </w:tcPr>
          <w:p w14:paraId="6F6C6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shd w:val="clear"/>
                <w:lang w:val="en-US" w:eastAsia="zh-CN" w:bidi="ar"/>
              </w:rPr>
              <w:t>%</w:t>
            </w:r>
          </w:p>
        </w:tc>
      </w:tr>
    </w:tbl>
    <w:p w14:paraId="09265F2E">
      <w:pPr>
        <w:bidi w:val="0"/>
        <w:jc w:val="center"/>
        <w:rPr>
          <w:rFonts w:hint="eastAsia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harisSIL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eX_CM_Maths_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JkNWQwNjdmOTUwYzdiMWZlZTQ3ZDY3YmM3ZGE1MGYifQ=="/>
  </w:docVars>
  <w:rsids>
    <w:rsidRoot w:val="0000394C"/>
    <w:rsid w:val="0000394C"/>
    <w:rsid w:val="00043E75"/>
    <w:rsid w:val="00075977"/>
    <w:rsid w:val="000D216C"/>
    <w:rsid w:val="001B5853"/>
    <w:rsid w:val="001B6B70"/>
    <w:rsid w:val="002161D5"/>
    <w:rsid w:val="00256FB0"/>
    <w:rsid w:val="002A34EF"/>
    <w:rsid w:val="002F5F06"/>
    <w:rsid w:val="003921C3"/>
    <w:rsid w:val="003A460D"/>
    <w:rsid w:val="003C2BE7"/>
    <w:rsid w:val="003F68AF"/>
    <w:rsid w:val="00464704"/>
    <w:rsid w:val="004D6625"/>
    <w:rsid w:val="0055734A"/>
    <w:rsid w:val="005735D0"/>
    <w:rsid w:val="00686258"/>
    <w:rsid w:val="00695B02"/>
    <w:rsid w:val="0074081C"/>
    <w:rsid w:val="00754128"/>
    <w:rsid w:val="00772EFC"/>
    <w:rsid w:val="008E422A"/>
    <w:rsid w:val="00A01B7A"/>
    <w:rsid w:val="00A35919"/>
    <w:rsid w:val="00A36D75"/>
    <w:rsid w:val="00A74A93"/>
    <w:rsid w:val="00AC13E4"/>
    <w:rsid w:val="00AE7341"/>
    <w:rsid w:val="00C0287F"/>
    <w:rsid w:val="00C17E22"/>
    <w:rsid w:val="00C71267"/>
    <w:rsid w:val="00C9078A"/>
    <w:rsid w:val="00CB4A58"/>
    <w:rsid w:val="00D46C0E"/>
    <w:rsid w:val="00E26C48"/>
    <w:rsid w:val="00F1191B"/>
    <w:rsid w:val="00FD02AD"/>
    <w:rsid w:val="014F07D8"/>
    <w:rsid w:val="02825125"/>
    <w:rsid w:val="029C6C7A"/>
    <w:rsid w:val="02F83A9F"/>
    <w:rsid w:val="036B3A62"/>
    <w:rsid w:val="041A21CD"/>
    <w:rsid w:val="05F36B2F"/>
    <w:rsid w:val="07024408"/>
    <w:rsid w:val="09FA3714"/>
    <w:rsid w:val="0ACA496A"/>
    <w:rsid w:val="0BE042A9"/>
    <w:rsid w:val="0C3B0516"/>
    <w:rsid w:val="10D03AA0"/>
    <w:rsid w:val="10F04E65"/>
    <w:rsid w:val="120B40DC"/>
    <w:rsid w:val="12DC7E56"/>
    <w:rsid w:val="13AD4C35"/>
    <w:rsid w:val="15B359A5"/>
    <w:rsid w:val="174823F3"/>
    <w:rsid w:val="178B590E"/>
    <w:rsid w:val="18460AE6"/>
    <w:rsid w:val="18CB1B82"/>
    <w:rsid w:val="18E45FED"/>
    <w:rsid w:val="1A165C74"/>
    <w:rsid w:val="1ADC231F"/>
    <w:rsid w:val="1B6711FE"/>
    <w:rsid w:val="1B775DAF"/>
    <w:rsid w:val="1B990555"/>
    <w:rsid w:val="1DDC367D"/>
    <w:rsid w:val="1EF363C2"/>
    <w:rsid w:val="1FF00B97"/>
    <w:rsid w:val="20140CFF"/>
    <w:rsid w:val="20F46A65"/>
    <w:rsid w:val="217C51A5"/>
    <w:rsid w:val="21810591"/>
    <w:rsid w:val="21935847"/>
    <w:rsid w:val="21977012"/>
    <w:rsid w:val="22DA6B2F"/>
    <w:rsid w:val="23F55975"/>
    <w:rsid w:val="252C3FB9"/>
    <w:rsid w:val="25FC08C3"/>
    <w:rsid w:val="26F57494"/>
    <w:rsid w:val="285F5108"/>
    <w:rsid w:val="29460984"/>
    <w:rsid w:val="29AA41DF"/>
    <w:rsid w:val="2AF87E7F"/>
    <w:rsid w:val="2C1E1533"/>
    <w:rsid w:val="2D5075B9"/>
    <w:rsid w:val="2EB50FBB"/>
    <w:rsid w:val="330756E0"/>
    <w:rsid w:val="35EB56B4"/>
    <w:rsid w:val="38CD161E"/>
    <w:rsid w:val="392315BE"/>
    <w:rsid w:val="39B6652C"/>
    <w:rsid w:val="3A2C01C5"/>
    <w:rsid w:val="42AE48AE"/>
    <w:rsid w:val="46061941"/>
    <w:rsid w:val="47117D7D"/>
    <w:rsid w:val="472242CD"/>
    <w:rsid w:val="473B2FB0"/>
    <w:rsid w:val="4759075B"/>
    <w:rsid w:val="49B34FAA"/>
    <w:rsid w:val="4A211A45"/>
    <w:rsid w:val="4A5635B7"/>
    <w:rsid w:val="4ABD399E"/>
    <w:rsid w:val="4D6329F5"/>
    <w:rsid w:val="4F003F2A"/>
    <w:rsid w:val="500B71A4"/>
    <w:rsid w:val="51BC6355"/>
    <w:rsid w:val="524A5908"/>
    <w:rsid w:val="53040086"/>
    <w:rsid w:val="535A53CF"/>
    <w:rsid w:val="55556409"/>
    <w:rsid w:val="560A6E7E"/>
    <w:rsid w:val="56DC246F"/>
    <w:rsid w:val="5BF75972"/>
    <w:rsid w:val="5C274EB6"/>
    <w:rsid w:val="5CA92556"/>
    <w:rsid w:val="5D7372E4"/>
    <w:rsid w:val="5F2072BD"/>
    <w:rsid w:val="5F5643DE"/>
    <w:rsid w:val="5FEA48E9"/>
    <w:rsid w:val="60A06308"/>
    <w:rsid w:val="60BF12B1"/>
    <w:rsid w:val="619F012C"/>
    <w:rsid w:val="62467E05"/>
    <w:rsid w:val="63B8309D"/>
    <w:rsid w:val="67901F35"/>
    <w:rsid w:val="679D472E"/>
    <w:rsid w:val="69F56662"/>
    <w:rsid w:val="6A090B86"/>
    <w:rsid w:val="6A4C6E42"/>
    <w:rsid w:val="6B3414E6"/>
    <w:rsid w:val="6C9A5864"/>
    <w:rsid w:val="6F517AF6"/>
    <w:rsid w:val="6F971731"/>
    <w:rsid w:val="7000707A"/>
    <w:rsid w:val="71975826"/>
    <w:rsid w:val="72525510"/>
    <w:rsid w:val="72BE61D3"/>
    <w:rsid w:val="765869B8"/>
    <w:rsid w:val="793820C3"/>
    <w:rsid w:val="79B5750D"/>
    <w:rsid w:val="7D6170A9"/>
    <w:rsid w:val="7ECE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autoRedefine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rFonts w:cs="Times New Roman"/>
      <w:kern w:val="0"/>
    </w:rPr>
  </w:style>
  <w:style w:type="paragraph" w:styleId="6">
    <w:name w:val="annotation subject"/>
    <w:basedOn w:val="2"/>
    <w:next w:val="2"/>
    <w:link w:val="16"/>
    <w:autoRedefine/>
    <w:semiHidden/>
    <w:unhideWhenUsed/>
    <w:qFormat/>
    <w:uiPriority w:val="99"/>
    <w:rPr>
      <w:b/>
      <w:bCs/>
    </w:rPr>
  </w:style>
  <w:style w:type="table" w:styleId="8">
    <w:name w:val="Table Grid"/>
    <w:basedOn w:val="7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qFormat/>
    <w:uiPriority w:val="0"/>
    <w:rPr>
      <w:color w:val="0000FF"/>
      <w:u w:val="single"/>
    </w:rPr>
  </w:style>
  <w:style w:type="character" w:styleId="11">
    <w:name w:val="annotation reference"/>
    <w:basedOn w:val="9"/>
    <w:autoRedefine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9"/>
    <w:link w:val="4"/>
    <w:autoRedefine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3"/>
    <w:autoRedefine/>
    <w:qFormat/>
    <w:uiPriority w:val="99"/>
    <w:rPr>
      <w:sz w:val="18"/>
      <w:szCs w:val="18"/>
    </w:rPr>
  </w:style>
  <w:style w:type="table" w:customStyle="1" w:styleId="14">
    <w:name w:val="网格型1"/>
    <w:basedOn w:val="7"/>
    <w:autoRedefine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批注文字 字符"/>
    <w:basedOn w:val="9"/>
    <w:link w:val="2"/>
    <w:autoRedefine/>
    <w:semiHidden/>
    <w:qFormat/>
    <w:uiPriority w:val="99"/>
    <w:rPr>
      <w:kern w:val="2"/>
      <w:sz w:val="21"/>
      <w:szCs w:val="22"/>
    </w:rPr>
  </w:style>
  <w:style w:type="character" w:customStyle="1" w:styleId="16">
    <w:name w:val="批注主题 字符"/>
    <w:basedOn w:val="15"/>
    <w:link w:val="6"/>
    <w:autoRedefine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609</Words>
  <Characters>2540</Characters>
  <Lines>34</Lines>
  <Paragraphs>9</Paragraphs>
  <TotalTime>1</TotalTime>
  <ScaleCrop>false</ScaleCrop>
  <LinksUpToDate>false</LinksUpToDate>
  <CharactersWithSpaces>3036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2022-09-11T02:02:00Z</dcterms:created>
  <dc:creator>王 天烽</dc:creator>
  <cp:lastModifiedBy>_Carien</cp:lastModifiedBy>
  <dcterms:modified xsi:type="dcterms:W3CDTF">2025-01-04T01:54:38Z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CFD025E5A62544FA906A5DE1D57A469F_13</vt:lpwstr>
  </property>
  <property fmtid="{D5CDD505-2E9C-101B-9397-08002B2CF9AE}" pid="4" name="KSOTemplateDocerSaveRecord">
    <vt:lpwstr>eyJoZGlkIjoiOWJkNWQwNjdmOTUwYzdiMWZlZTQ3ZDY3YmM3ZGE1MGYiLCJ1c2VySWQiOiI0NTc2Mzg3NTYifQ==</vt:lpwstr>
  </property>
</Properties>
</file>