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DA" w:rsidRDefault="00AA5FBC">
      <w:pPr>
        <w:pStyle w:val="Heading1"/>
        <w:jc w:val="center"/>
        <w:rPr>
          <w:rFonts w:ascii="Times New Roman" w:hAnsi="Times New Roman"/>
          <w:b/>
          <w:color w:val="000000" w:themeColor="text1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bCs w:val="0"/>
          <w:color w:val="000000"/>
          <w:szCs w:val="24"/>
        </w:rPr>
        <w:t>Supplementary</w:t>
      </w:r>
      <w:r>
        <w:rPr>
          <w:rFonts w:ascii="Times New Roman" w:hAnsi="Times New Roman"/>
          <w:b/>
          <w:color w:val="000000" w:themeColor="text1"/>
          <w:szCs w:val="24"/>
        </w:rPr>
        <w:t xml:space="preserve"> Information</w:t>
      </w:r>
    </w:p>
    <w:p w:rsidR="001D35DA" w:rsidRDefault="00AA5FBC">
      <w:pPr>
        <w:pStyle w:val="EndNoteBibliography"/>
        <w:tabs>
          <w:tab w:val="left" w:pos="1395"/>
        </w:tabs>
        <w:spacing w:line="480" w:lineRule="auto"/>
        <w:jc w:val="center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For</w:t>
      </w:r>
    </w:p>
    <w:p w:rsidR="001D35DA" w:rsidRDefault="00AA5FBC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Enhanced anaerobic digestion of straw by using microbial pretreatment augmented with micro-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>nano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kern w:val="0"/>
          <w:sz w:val="24"/>
          <w:szCs w:val="24"/>
        </w:rPr>
        <w:t xml:space="preserve"> bubble water</w:t>
      </w:r>
    </w:p>
    <w:p w:rsidR="001D35DA" w:rsidRDefault="00AA5FBC">
      <w:pPr>
        <w:widowControl/>
        <w:jc w:val="lef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color w:val="FF0000"/>
          <w:sz w:val="24"/>
          <w:szCs w:val="24"/>
        </w:rPr>
        <w:br w:type="page"/>
      </w:r>
    </w:p>
    <w:p w:rsidR="001D35DA" w:rsidRDefault="00AA5F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Basic Properties of Experimental Materials</w:t>
      </w:r>
    </w:p>
    <w:p w:rsidR="001D35DA" w:rsidRDefault="001D35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AA5FB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Table S1.</w:t>
      </w:r>
      <w:r>
        <w:rPr>
          <w:rFonts w:ascii="Times New Roman" w:hAnsi="Times New Roman" w:cs="Times New Roman" w:hint="eastAsia"/>
          <w:sz w:val="24"/>
          <w:szCs w:val="24"/>
        </w:rPr>
        <w:t xml:space="preserve"> Basic Properties of Substrate and Inoculum</w:t>
      </w:r>
    </w:p>
    <w:tbl>
      <w:tblPr>
        <w:tblStyle w:val="TableGrid"/>
        <w:tblpPr w:leftFromText="180" w:rightFromText="180" w:vertAnchor="text" w:tblpX="827" w:tblpY="168"/>
        <w:tblOverlap w:val="never"/>
        <w:tblW w:w="0" w:type="auto"/>
        <w:tblLook w:val="04A0" w:firstRow="1" w:lastRow="0" w:firstColumn="1" w:lastColumn="0" w:noHBand="0" w:noVBand="1"/>
      </w:tblPr>
      <w:tblGrid>
        <w:gridCol w:w="2283"/>
        <w:gridCol w:w="2287"/>
        <w:gridCol w:w="2294"/>
      </w:tblGrid>
      <w:tr w:rsidR="001D35DA">
        <w:trPr>
          <w:trHeight w:val="648"/>
        </w:trPr>
        <w:tc>
          <w:tcPr>
            <w:tcW w:w="2283" w:type="dxa"/>
            <w:tcBorders>
              <w:top w:val="thinThickSmallGap" w:sz="12" w:space="0" w:color="auto"/>
              <w:left w:val="nil"/>
              <w:bottom w:val="single" w:sz="12" w:space="0" w:color="auto"/>
              <w:right w:val="nil"/>
            </w:tcBorders>
          </w:tcPr>
          <w:p w:rsidR="001D35DA" w:rsidRDefault="001D35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7" w:type="dxa"/>
            <w:tcBorders>
              <w:top w:val="thinThickSmallGap" w:sz="12" w:space="0" w:color="auto"/>
              <w:left w:val="nil"/>
              <w:bottom w:val="single" w:sz="12" w:space="0" w:color="auto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Rice straw</w:t>
            </w:r>
          </w:p>
        </w:tc>
        <w:tc>
          <w:tcPr>
            <w:tcW w:w="2290" w:type="dxa"/>
            <w:tcBorders>
              <w:top w:val="thinThickSmallGap" w:sz="12" w:space="0" w:color="auto"/>
              <w:left w:val="nil"/>
              <w:bottom w:val="single" w:sz="12" w:space="0" w:color="auto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Inoculum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top w:val="single" w:sz="12" w:space="0" w:color="auto"/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TS(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top w:val="single" w:sz="12" w:space="0" w:color="auto"/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84.21</w:t>
            </w:r>
          </w:p>
        </w:tc>
        <w:tc>
          <w:tcPr>
            <w:tcW w:w="2294" w:type="dxa"/>
            <w:tcBorders>
              <w:top w:val="single" w:sz="12" w:space="0" w:color="auto"/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8.04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VS(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77.88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63.67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C(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31.35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16.53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2.982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1.566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N(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2.69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1.16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S(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0.899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0.469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Cellulose(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27.92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hemicellulose(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20.05</w:t>
            </w:r>
          </w:p>
        </w:tc>
        <w:tc>
          <w:tcPr>
            <w:tcW w:w="2294" w:type="dxa"/>
            <w:tcBorders>
              <w:left w:val="nil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</w:p>
        </w:tc>
      </w:tr>
      <w:tr w:rsidR="001D35DA">
        <w:trPr>
          <w:trHeight w:val="648"/>
        </w:trPr>
        <w:tc>
          <w:tcPr>
            <w:tcW w:w="2283" w:type="dxa"/>
            <w:tcBorders>
              <w:left w:val="nil"/>
              <w:bottom w:val="thinThickSmallGap" w:sz="12" w:space="0" w:color="auto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</w:rPr>
              <w:t>lignin(</w:t>
            </w:r>
            <w:proofErr w:type="gram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>%)</w:t>
            </w:r>
          </w:p>
        </w:tc>
        <w:tc>
          <w:tcPr>
            <w:tcW w:w="2283" w:type="dxa"/>
            <w:tcBorders>
              <w:left w:val="nil"/>
              <w:bottom w:val="thinThickSmallGap" w:sz="12" w:space="0" w:color="auto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16.03</w:t>
            </w:r>
          </w:p>
        </w:tc>
        <w:tc>
          <w:tcPr>
            <w:tcW w:w="2294" w:type="dxa"/>
            <w:tcBorders>
              <w:left w:val="nil"/>
              <w:bottom w:val="thinThickSmallGap" w:sz="12" w:space="0" w:color="auto"/>
              <w:right w:val="nil"/>
            </w:tcBorders>
          </w:tcPr>
          <w:p w:rsidR="001D35DA" w:rsidRDefault="00AA5FB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</w:p>
        </w:tc>
      </w:tr>
    </w:tbl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D35DA" w:rsidRDefault="00AA5F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1D35DA" w:rsidRDefault="00AA5FB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Molecular biological identification of screened </w:t>
      </w:r>
      <w:r>
        <w:rPr>
          <w:rFonts w:ascii="Times New Roman" w:hAnsi="Times New Roman" w:cs="Times New Roman"/>
          <w:b/>
          <w:bCs/>
          <w:sz w:val="24"/>
          <w:szCs w:val="24"/>
        </w:rPr>
        <w:t>strains</w:t>
      </w:r>
    </w:p>
    <w:p w:rsidR="001D35DA" w:rsidRDefault="00AA5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Sequencing Results</w:t>
      </w:r>
    </w:p>
    <w:p w:rsidR="001D35DA" w:rsidRDefault="00AA5FBC">
      <w:pPr>
        <w:widowControl/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Three strains were sent to Shanghai 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Sangon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Biotech Co., Ltd. for sequencing, and the sequences of the three strains were obtained. Their lengths were 1486 base pairs (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bp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) for strain S1, 620 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bp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for strain S2, and 566 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bp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for str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ain S3, respectively. The specific results are presented later in this paper.</w:t>
      </w:r>
    </w:p>
    <w:p w:rsidR="001D35DA" w:rsidRDefault="00AA5FBC">
      <w:pPr>
        <w:widowControl/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BLAST analysis against the NCBI database revealed that strain S1 shared 100% sequence similarity with the accession number MT375545.1, strain S2 showed 99.84% sequence similarity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to the accession number MH047187.1, and strain S3 exhibited 99.81% sequence similarity with the accession number MN518398.1.</w:t>
      </w:r>
    </w:p>
    <w:p w:rsidR="001D35DA" w:rsidRDefault="00AA5FBC">
      <w:pPr>
        <w:widowControl/>
        <w:spacing w:line="360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（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2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）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Construction of Phylogenetic Tree</w:t>
      </w:r>
    </w:p>
    <w:p w:rsidR="001D35DA" w:rsidRDefault="00AA5FBC">
      <w:pPr>
        <w:widowControl/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The obtained DNA sequences were subjected to a Blast alignment in the NCBI database to identi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fy strains with high similarity to these three strains. The MEGA11 software was used to construct a phylogenetic tree, and the resulting phylogenetic tree is shown in the figure. Combining with their morphological characteristics, strain S1 was identified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as belonging to the genus Bacillus, while strains S2 and S3 were identified as belonging to the genus 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Phanerodontia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. </w:t>
      </w:r>
    </w:p>
    <w:p w:rsidR="001D35DA" w:rsidRDefault="001D35DA">
      <w:pPr>
        <w:widowControl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:rsidR="001D35DA" w:rsidRDefault="001D35DA">
      <w:pPr>
        <w:widowControl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:rsidR="001D35DA" w:rsidRDefault="001D35DA">
      <w:pPr>
        <w:spacing w:line="360" w:lineRule="auto"/>
        <w:rPr>
          <w:rFonts w:ascii="Times New Roman" w:eastAsia="Segoe UI" w:hAnsi="Times New Roman" w:cs="Times New Roman"/>
          <w:color w:val="1C1F23"/>
          <w:sz w:val="24"/>
          <w:szCs w:val="24"/>
          <w:shd w:val="clear" w:color="auto" w:fill="FFFFFF"/>
        </w:rPr>
      </w:pPr>
    </w:p>
    <w:p w:rsidR="001D35DA" w:rsidRDefault="00AA5FBC">
      <w:pPr>
        <w:widowControl/>
        <w:jc w:val="left"/>
        <w:rPr>
          <w:rFonts w:ascii="Times New Roman" w:eastAsia="Segoe UI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color w:val="1C1F23"/>
          <w:sz w:val="24"/>
          <w:szCs w:val="24"/>
          <w:shd w:val="clear" w:color="auto" w:fill="FFFFFF"/>
        </w:rPr>
        <w:br w:type="page"/>
      </w:r>
    </w:p>
    <w:p w:rsidR="001D35DA" w:rsidRDefault="00AA5FBC">
      <w:pPr>
        <w:spacing w:line="360" w:lineRule="auto"/>
        <w:rPr>
          <w:rFonts w:ascii="Times New Roman" w:eastAsia="Segoe UI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color w:val="1C1F23"/>
          <w:sz w:val="24"/>
          <w:szCs w:val="24"/>
          <w:shd w:val="clear" w:color="auto" w:fill="FFFFFF"/>
        </w:rPr>
        <w:lastRenderedPageBreak/>
        <w:t>Sequencing results</w:t>
      </w:r>
    </w:p>
    <w:p w:rsidR="001D35DA" w:rsidRDefault="00AA5FBC">
      <w:pPr>
        <w:spacing w:line="360" w:lineRule="auto"/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(1)S1 Sequencing 1486bp</w:t>
      </w:r>
    </w:p>
    <w:p w:rsidR="001D35DA" w:rsidRDefault="00AA5FBC">
      <w:pPr>
        <w:spacing w:line="360" w:lineRule="auto"/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GGCTCAGGACGAACGCTGGCGGCGTGCCTAATACATGCAAGTCGAGCGGACAGATGGGAGCTTGCTCCCTGATGTTAGCGGCGGACGGGTGAGTAACACGTGGGTAACCTGCCTGTAAGACTGGGATAACTCCGGGAAACCGGGGCTAATACCGGATGGTTGTTTGAACCGCATGGTTCAGACATAAAAGGTGGCTTCGGCTACCACTTACAGATGGACCCGCGGCGCATTAGCTAGTTGGTGAGGTAACGGCTCA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CCAAGGCGACGATGCGTAGCCGACCTGAGAGGGTGATCGGCCACACTGGGACTGAGACACGGCCCAGACTCCTACGGGAGGCAGCAGTAGGGAATCTTCCGCAATGGACGAAAGTCTGACGGAGCAACGCCGCGTGAGTGATGAAGGTTTTCGGATCGTAAAGCTCTGTTGTTAGGGAAGAACAAGTGCCGTTCAAATAGGGCGGCACCTTGACGGTACCTAACCAGAAAGCCACGGCTAACTACGTGCCAGCAGC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CGCGGTAATACGTAGGTGGCAAGCGTTGTCCGGAATTATTGGGCGTAAAGGGCTCGCAGGCGGTTTCTTAAGTCTGATGTGAAAGCCCCCGGCTCAACCGGGGAGGGTCATTGGAAACTGGGGAACTTGAGTGCAGAAGAGGAGAGTGGAATTCCACGTGTAGCGGTGAAATGCGTAGAGATGTGGAGGAACACCAGTGGCGAAGGCGACTCTCTGGTCTGTAACTGACGCTGAGGAGCGAAAGCGTGGGGAGCGA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ACAGGATTAGATACCCTGGTAGTCCACGCCGTAAACGATGAGTGCTAAGTGTTAGGGGGTTTCCGCCCCTTAGTGCTGCAGCTAACGCATTAAGCACTCCGCCTGGGGAGTACGGTCGCAAGACTGAAACTCAAAGGAATTGACGGGGGCCCGCACAAGCGGTGGAGCATGTGGTTTAATTCGAAGCAACGCGAAGAACCTTACCAGGTCTTGACATCCTCTGACAATCCTAGAGATAGGACGTCCCCTTCGGGGG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CAGAGTGACAGGTGGTGCATGGTTGTCGTCAGCTCGTGTCGTGAGATGTTGGGTTAAGTCCCGCAACGAGCGCAACCCTTGATCTTAGTTGCCAGCATTCAGTTGGGCACTCTAAGGTGACTGCCGGTGACAAACCGGAGGAAGGTGGGGATGACGTCAAATCATCATGCCCCTTATGACCTGGGCTACACACGTGCTACAATGGACAGAACAAAGGGCAGCGAAACCGCGAGGTTAAGCCAATCCCACAAATCTG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TTCTCAGTTCGGATCGCAGTCTGCAACTCGACTGCGTGAAGCTGGAATCGCTAGTAATCGCGGATCAGCATGCCGCGGTGAA</w:t>
      </w: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lastRenderedPageBreak/>
        <w:t>TACGTTCCCGGGCCTTGTACACACCGCCCGTCACACCACGAGAGTTTGTAACACCCGAAGTCGGTGAGGTAACCTTTTAGGAGCCAGCCGCCGAAGGTGGGACAGATGATTGGGGTGAAGTCGT</w:t>
      </w:r>
    </w:p>
    <w:p w:rsidR="001D35DA" w:rsidRDefault="00AA5FBC">
      <w:pPr>
        <w:spacing w:line="360" w:lineRule="auto"/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(2)S2 Sequencing 620bp</w:t>
      </w:r>
    </w:p>
    <w:p w:rsidR="001D35DA" w:rsidRDefault="00AA5FBC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CCTGCGGAAGGATCATTAACGAGTAA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CTGAACAGGTTGTAGCTGGCCTCTCGGGGCATGTGCACGCCTGGCTCATCCACTCTTCAACCTCTGTGCACTTGTTGTAGGTCGGTAGAAGAGCGAGCATCCTCTGATGCTTTGCTTGGAAGCCTTCCTATGTTTTACTACAAACGCTTCAGTTTAAGAATGTCTACCTGCGTACAACGCATCTATATACAACTTTCAGCAACGGATCTCTTGGCTCTCGCATCGATGAAGAACGCAGCGAAATGCGATAAGTAAT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GTGAATTGCAGAATTCAGTGAATCATCGAATCTTTGAACGCACCTTGCGCTCCCTGGTATTCCGGGGAGCATGCCTGTTTGAGTGTCATGGTATCCTCAACCTTCATAACTTTTTGTTATCGAAGGCTTGGACTTGGAGGTTGTGCTGGCTTCTAGTCGAGTCGGCTCCTCTTAAATGTATTAGCGTGAGTGTAACGGATCGCTTCGGTGTGATAATTATCTGCGCCGTGGTCGTGAAGTAACATAAGCTTGCGCT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TCTAACCGTCCTTCAGTTGGACAACTTACTTTGACATCTGACCTCAAATCAGGTAGGACTACCCGCTGAACTTAAGCATATC</w:t>
      </w:r>
    </w:p>
    <w:p w:rsidR="001D35DA" w:rsidRDefault="00AA5FBC">
      <w:pPr>
        <w:spacing w:line="360" w:lineRule="auto"/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  <w:t>(3)S3 Sequencing 566bp</w:t>
      </w:r>
    </w:p>
    <w:p w:rsidR="001D35DA" w:rsidRDefault="00AA5FBC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TGACGGTTGTAGCTGGCCTCTCGGGGCATGTGCACGCCTGGCTCATCCACTCTTCAACCTCTGTGCACTTGTTGTAGGTCGGTAGAAGAGCGAGCATCCTCTGATGCTTTGCTTGGAAGCCTTCCTATGTTTTACTACAAACGCTTCAGT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TTAAGAATGTCTACCTGCGTATAACGCATCTATATACAACTTTCAGCAACGGATCTCTTGGCTCTCGCATCGATGAAGAACGCAGCGAAATGCGATAAGTAATGTGAATTGCAGAATTCAGTGAATCATCGAATCTTTGAACGCACCTTGCGCTCCCTGGTATTCCGGGGAGCATGCCTGTTTGAGTGTCATGGTATCCTCAACCTTCATAACTTTTTTGTTATCGAAGGCTTGGACTTGGAGGTTGTGCTGGCTT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CTAGTCGAGTCGGCTCCTCTTAAATGTATTAGCGTGAGTGTAACGGATCGCTTCGGTGTGATAATTATCTGCGCCGTGGTCGTGAAGTAACATAAGCTTGCG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lastRenderedPageBreak/>
        <w:t>CTTCTAACCGTCCTTCAGTTGGACAACTTACTTTGACATCTGACCTCAAATCAGGTAG</w:t>
      </w:r>
    </w:p>
    <w:p w:rsidR="001D35DA" w:rsidRDefault="001D35DA">
      <w:pPr>
        <w:rPr>
          <w:rFonts w:ascii="Times New Roman" w:hAnsi="Times New Roman" w:cs="Times New Roman"/>
          <w:color w:val="1C1F23"/>
          <w:sz w:val="24"/>
          <w:szCs w:val="24"/>
          <w:shd w:val="clear" w:color="auto" w:fill="FFFFFF"/>
        </w:rPr>
      </w:pPr>
    </w:p>
    <w:p w:rsidR="001D35DA" w:rsidRDefault="001D35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5DA" w:rsidRDefault="00AA5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266690" cy="2703195"/>
            <wp:effectExtent l="0" t="0" r="6350" b="9525"/>
            <wp:docPr id="1573076062" name="图片 1573076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6062" name="图片 15730760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5DA" w:rsidRDefault="00AA5FBC">
      <w:pPr>
        <w:pStyle w:val="ListParagraph"/>
        <w:numPr>
          <w:ilvl w:val="0"/>
          <w:numId w:val="1"/>
        </w:numPr>
        <w:spacing w:line="360" w:lineRule="auto"/>
        <w:ind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Phylogenetic tree of 16S rDNA of strain S1</w:t>
      </w:r>
    </w:p>
    <w:p w:rsidR="001D35DA" w:rsidRDefault="00AA5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271135" cy="319151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5DA" w:rsidRDefault="00AA5FBC">
      <w:pPr>
        <w:pStyle w:val="ListParagraph"/>
        <w:numPr>
          <w:ilvl w:val="0"/>
          <w:numId w:val="1"/>
        </w:numPr>
        <w:spacing w:line="360" w:lineRule="auto"/>
        <w:ind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Phylogenetic tree of the strain S2</w:t>
      </w:r>
    </w:p>
    <w:p w:rsidR="001D35DA" w:rsidRDefault="00AA5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114300" distR="114300">
            <wp:extent cx="5262880" cy="3125470"/>
            <wp:effectExtent l="0" t="0" r="1016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5DA" w:rsidRDefault="00AA5FBC">
      <w:pPr>
        <w:pStyle w:val="ListParagraph"/>
        <w:numPr>
          <w:ilvl w:val="0"/>
          <w:numId w:val="1"/>
        </w:numPr>
        <w:spacing w:line="360" w:lineRule="auto"/>
        <w:ind w:firstLineChars="0"/>
        <w:jc w:val="center"/>
        <w:rPr>
          <w:sz w:val="24"/>
          <w:szCs w:val="24"/>
          <w:shd w:val="clear" w:color="auto" w:fill="FFFFFF"/>
        </w:rPr>
      </w:pPr>
      <w:bookmarkStart w:id="1" w:name="OLE_LINK50"/>
      <w:r>
        <w:rPr>
          <w:rFonts w:eastAsia="Segoe UI"/>
          <w:sz w:val="24"/>
          <w:szCs w:val="24"/>
          <w:shd w:val="clear" w:color="auto" w:fill="FFFFFF"/>
        </w:rPr>
        <w:t xml:space="preserve">Phylogenetic tree of </w:t>
      </w:r>
      <w:bookmarkEnd w:id="1"/>
      <w:r>
        <w:rPr>
          <w:rFonts w:eastAsia="Segoe UI"/>
          <w:sz w:val="24"/>
          <w:szCs w:val="24"/>
          <w:shd w:val="clear" w:color="auto" w:fill="FFFFFF"/>
        </w:rPr>
        <w:t xml:space="preserve">the strain </w:t>
      </w:r>
      <w:r>
        <w:rPr>
          <w:sz w:val="24"/>
          <w:szCs w:val="24"/>
          <w:shd w:val="clear" w:color="auto" w:fill="FFFFFF"/>
        </w:rPr>
        <w:t>S3</w:t>
      </w:r>
    </w:p>
    <w:p w:rsidR="001D35DA" w:rsidRDefault="00AA5FBC">
      <w:pPr>
        <w:spacing w:line="360" w:lineRule="auto"/>
        <w:jc w:val="center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Fig. S1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t>Phylogenetic tree of three strains</w:t>
      </w:r>
    </w:p>
    <w:p w:rsidR="001D35DA" w:rsidRDefault="001D35DA">
      <w:pPr>
        <w:spacing w:line="360" w:lineRule="auto"/>
        <w:jc w:val="center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</w:p>
    <w:p w:rsidR="001D35DA" w:rsidRDefault="001D35DA">
      <w:pPr>
        <w:spacing w:line="360" w:lineRule="auto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</w:p>
    <w:p w:rsidR="001D35DA" w:rsidRDefault="001D35DA">
      <w:pPr>
        <w:spacing w:line="360" w:lineRule="auto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</w:p>
    <w:p w:rsidR="001D35DA" w:rsidRDefault="00AA5FBC">
      <w:pPr>
        <w:widowControl/>
        <w:jc w:val="left"/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sz w:val="24"/>
          <w:szCs w:val="24"/>
          <w:shd w:val="clear" w:color="auto" w:fill="FFFFFF"/>
        </w:rPr>
        <w:br w:type="page"/>
      </w:r>
    </w:p>
    <w:p w:rsidR="001D35DA" w:rsidRDefault="00AA5FBC">
      <w:pPr>
        <w:widowControl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object w:dxaOrig="6013" w:dyaOrig="46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.5pt;height:230.5pt" o:ole="">
            <v:imagedata r:id="rId10" o:title=""/>
          </v:shape>
          <o:OLEObject Type="Embed" ProgID="Origin95.Graph" ShapeID="_x0000_i1025" DrawAspect="Content" ObjectID="_1827406338" r:id="rId11"/>
        </w:object>
      </w:r>
    </w:p>
    <w:p w:rsidR="001D35DA" w:rsidRDefault="00AA5FBC">
      <w:pPr>
        <w:widowControl/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shd w:val="clear" w:color="auto" w:fill="FFFFFF"/>
        </w:rPr>
        <w:t>Fig. S2.</w:t>
      </w:r>
      <w:r>
        <w:rPr>
          <w:rFonts w:ascii="Times New Roman" w:hAnsi="Times New Roman" w:cs="Times New Roman" w:hint="eastAsia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Daily methane production from straw pretreated under different conditions. K-1 (S1:S2:S3=1:1:1 with Air-MNBs), K-2 (S1:S2:S3=2:1:1 with </w:t>
      </w:r>
      <w:r>
        <w:rPr>
          <w:rFonts w:ascii="Times New Roman" w:hAnsi="Times New Roman" w:cs="Times New Roman" w:hint="eastAsia"/>
          <w:sz w:val="24"/>
          <w:szCs w:val="24"/>
        </w:rPr>
        <w:t>Air-MNBs), K-3 (S1:S2:S3=1:2.5:2.5 with Air-MNBs), A-1 (S1 with Air-MNBs), N-1 (S1 with N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-MNBs), A-2 (S2:S3=1:1 with Air-MNBs), N-2 (S2:S3=1:1 with N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-MNBs).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br w:type="page"/>
      </w:r>
    </w:p>
    <w:p w:rsidR="001D35DA" w:rsidRDefault="001D35DA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D35DA" w:rsidRDefault="00AA5FB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5399405" cy="5939790"/>
            <wp:effectExtent l="0" t="0" r="1079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35DA" w:rsidRDefault="00AA5F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Fig. S3.</w:t>
      </w:r>
      <w:r>
        <w:rPr>
          <w:rFonts w:ascii="Times New Roman" w:hAnsi="Times New Roman" w:cs="Times New Roman" w:hint="eastAsia"/>
          <w:sz w:val="24"/>
          <w:szCs w:val="24"/>
        </w:rPr>
        <w:t xml:space="preserve"> Dynamics of soluble intermediate products during the anaerobic digestion process. (a</w:t>
      </w:r>
      <w:r>
        <w:rPr>
          <w:rFonts w:ascii="Times New Roman" w:hAnsi="Times New Roman" w:cs="Times New Roman" w:hint="eastAsia"/>
          <w:sz w:val="24"/>
          <w:szCs w:val="24"/>
        </w:rPr>
        <w:t>, c, e) show the results for groups pretreated with different microbial consortia and Air-MNBs: K-1 (S1:S2:S3=1:1:1), K-2 (S1:S2:S3=2:1:1), K-3 (S1:S2:S3=1:2.5:2.5). (b, d, f) show the results for groups pretreated with different functional microbes and MN</w:t>
      </w:r>
      <w:r>
        <w:rPr>
          <w:rFonts w:ascii="Times New Roman" w:hAnsi="Times New Roman" w:cs="Times New Roman" w:hint="eastAsia"/>
          <w:sz w:val="24"/>
          <w:szCs w:val="24"/>
        </w:rPr>
        <w:t>B types: A-1 (S1 with Air-MNBs), N-1 (S1 with N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-MNBs), A-2 (S2:S3=1:1 with Air-MNBs), N-2 (S2:S3=1:1 with N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-MNBs). Panels (a-b) polysaccharide, (c-d) protein, (e-f) volatile fatty acids (VFAs).</w:t>
      </w:r>
    </w:p>
    <w:p w:rsidR="001D35DA" w:rsidRDefault="001D35DA">
      <w:pPr>
        <w:rPr>
          <w:rFonts w:ascii="Times New Roman" w:hAnsi="Times New Roman" w:cs="Times New Roman"/>
        </w:rPr>
      </w:pPr>
    </w:p>
    <w:sectPr w:rsidR="001D35DA" w:rsidSect="001727E2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FBC" w:rsidRDefault="00AA5FBC">
      <w:r>
        <w:separator/>
      </w:r>
    </w:p>
  </w:endnote>
  <w:endnote w:type="continuationSeparator" w:id="0">
    <w:p w:rsidR="00AA5FBC" w:rsidRDefault="00AA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Arial Unicode MS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8838483"/>
    </w:sdtPr>
    <w:sdtEndPr/>
    <w:sdtContent>
      <w:p w:rsidR="001D35DA" w:rsidRDefault="00AA5FB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27E2" w:rsidRPr="001727E2">
          <w:rPr>
            <w:noProof/>
            <w:lang w:val="zh-CN"/>
          </w:rPr>
          <w:t>9</w:t>
        </w:r>
        <w:r>
          <w:fldChar w:fldCharType="end"/>
        </w:r>
      </w:p>
    </w:sdtContent>
  </w:sdt>
  <w:p w:rsidR="001D35DA" w:rsidRDefault="001D3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FBC" w:rsidRDefault="00AA5FBC">
      <w:r>
        <w:separator/>
      </w:r>
    </w:p>
  </w:footnote>
  <w:footnote w:type="continuationSeparator" w:id="0">
    <w:p w:rsidR="00AA5FBC" w:rsidRDefault="00AA5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B2F57"/>
    <w:multiLevelType w:val="multilevel"/>
    <w:tmpl w:val="7BAB2F57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4D3"/>
    <w:rsid w:val="001727E2"/>
    <w:rsid w:val="001D35DA"/>
    <w:rsid w:val="0047242C"/>
    <w:rsid w:val="007454BE"/>
    <w:rsid w:val="00AA5FBC"/>
    <w:rsid w:val="00B54633"/>
    <w:rsid w:val="00BF0BA0"/>
    <w:rsid w:val="00F244D3"/>
    <w:rsid w:val="00F951C1"/>
    <w:rsid w:val="10895BDF"/>
    <w:rsid w:val="160E21CF"/>
    <w:rsid w:val="22A85759"/>
    <w:rsid w:val="2E453803"/>
    <w:rsid w:val="35895269"/>
    <w:rsid w:val="42474DB5"/>
    <w:rsid w:val="691D119F"/>
    <w:rsid w:val="69272501"/>
    <w:rsid w:val="7C10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A93C99-95E6-4722-B47E-9B0C6AB8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widowControl/>
      <w:spacing w:before="340" w:after="330" w:line="300" w:lineRule="exact"/>
      <w:jc w:val="left"/>
      <w:outlineLvl w:val="0"/>
    </w:pPr>
    <w:rPr>
      <w:rFonts w:ascii="Calibri" w:eastAsia="SimHei" w:hAnsi="Calibri" w:cs="Times New Roman"/>
      <w:bCs/>
      <w:kern w:val="44"/>
      <w:sz w:val="2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SimHei" w:hAnsi="Calibri" w:cs="Times New Roman"/>
      <w:bCs/>
      <w:kern w:val="44"/>
      <w:sz w:val="24"/>
      <w:szCs w:val="4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Times New Roman" w:eastAsia="SimSun" w:hAnsi="Times New Roman" w:cs="Times New Roman"/>
      <w:szCs w:val="20"/>
    </w:rPr>
  </w:style>
  <w:style w:type="paragraph" w:customStyle="1" w:styleId="EndNoteBibliography">
    <w:name w:val="EndNote Bibliography"/>
    <w:basedOn w:val="Normal"/>
    <w:link w:val="EndNoteBibliography0"/>
    <w:qFormat/>
    <w:pPr>
      <w:jc w:val="left"/>
    </w:pPr>
    <w:rPr>
      <w:rFonts w:ascii="Times New Roman" w:eastAsia="SimSun" w:hAnsi="Times New Roman" w:cs="Times New Roman"/>
      <w:sz w:val="18"/>
      <w:szCs w:val="20"/>
    </w:rPr>
  </w:style>
  <w:style w:type="character" w:customStyle="1" w:styleId="EndNoteBibliography0">
    <w:name w:val="EndNote Bibliography 字符"/>
    <w:basedOn w:val="DefaultParagraphFont"/>
    <w:link w:val="EndNoteBibliography"/>
    <w:qFormat/>
    <w:rPr>
      <w:rFonts w:ascii="Times New Roman" w:eastAsia="SimSun" w:hAnsi="Times New Roman" w:cs="Times New Roman"/>
      <w:sz w:val="18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9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suyun</dc:creator>
  <cp:lastModifiedBy>Melodie Carcueva</cp:lastModifiedBy>
  <cp:revision>5</cp:revision>
  <dcterms:created xsi:type="dcterms:W3CDTF">2025-09-05T00:55:00Z</dcterms:created>
  <dcterms:modified xsi:type="dcterms:W3CDTF">2025-12-16T17:01:00Z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eyJoZGlkIjoiOWI5MWVlNjRlZGJhYjQzZThkODA4OWExYzI4ZmQzYzEiLCJ1c2VySWQiOiIxNjcxMDc5NzQ0In0=</vt:lpwstr>
  </property>
  <property fmtid="{D5CDD505-2E9C-101B-9397-08002B2CF9AE}" pid="3" name="KSOProductBuildVer">
    <vt:lpwstr>2052-12.1.0.23125</vt:lpwstr>
  </property>
  <property fmtid="{D5CDD505-2E9C-101B-9397-08002B2CF9AE}" pid="4" name="ICV">
    <vt:lpwstr>E2D5C496BB134643A104011F59863D95_12</vt:lpwstr>
  </property>
</Properties>
</file>