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F129" w14:textId="57067D3F" w:rsidR="00D63CFC" w:rsidRPr="00422868" w:rsidRDefault="00D63CFC" w:rsidP="00422868">
      <w:pPr>
        <w:spacing w:afterLines="100" w:after="312" w:line="480" w:lineRule="auto"/>
        <w:jc w:val="center"/>
        <w:rPr>
          <w:rFonts w:ascii="Times New Roman" w:hAnsi="Times New Roman" w:cs="Times New Roman"/>
          <w:b/>
          <w:bCs/>
          <w:color w:val="EE0000"/>
          <w:sz w:val="32"/>
          <w:szCs w:val="32"/>
          <w14:ligatures w14:val="none"/>
        </w:rPr>
      </w:pPr>
      <w:r w:rsidRPr="00422868">
        <w:rPr>
          <w:rFonts w:ascii="Times New Roman" w:hAnsi="Times New Roman" w:cs="Times New Roman"/>
          <w:b/>
          <w:bCs/>
          <w:color w:val="EE0000"/>
          <w:sz w:val="32"/>
          <w:szCs w:val="32"/>
          <w14:ligatures w14:val="none"/>
        </w:rPr>
        <w:t>Supplementary Materials</w:t>
      </w:r>
    </w:p>
    <w:p w14:paraId="4BCA2D12" w14:textId="0646B83C" w:rsidR="00422868" w:rsidRPr="00422868" w:rsidRDefault="00392DB6" w:rsidP="00422868">
      <w:pPr>
        <w:spacing w:afterLines="200" w:after="624" w:line="480" w:lineRule="auto"/>
        <w:rPr>
          <w:rFonts w:ascii="Times New Roman" w:hAnsi="Times New Roman" w:cs="Times New Roman" w:hint="eastAsia"/>
          <w:b/>
          <w:bCs/>
          <w:color w:val="EE0000"/>
          <w:sz w:val="28"/>
          <w:szCs w:val="28"/>
          <w14:ligatures w14:val="none"/>
        </w:rPr>
      </w:pPr>
      <w:r w:rsidRPr="00422868">
        <w:rPr>
          <w:rFonts w:ascii="Times New Roman" w:hAnsi="Times New Roman" w:cs="Times New Roman"/>
          <w:b/>
          <w:bCs/>
          <w:color w:val="EE0000"/>
          <w:sz w:val="28"/>
          <w:szCs w:val="28"/>
          <w14:ligatures w14:val="none"/>
        </w:rPr>
        <w:t>Three-Stage integrated Co-Digestion of Pig Manure and Rice Straw Combined with Biogas Slurry Reflux: Performance and Application Evaluation</w:t>
      </w:r>
    </w:p>
    <w:p w14:paraId="016FC9BA" w14:textId="0A8C84AA" w:rsidR="00D63CFC" w:rsidRPr="00422868" w:rsidRDefault="00D63CFC" w:rsidP="00D63CFC">
      <w:pPr>
        <w:widowControl/>
        <w:rPr>
          <w:rFonts w:ascii="Times New Roman" w:hAnsi="Times New Roman" w:cs="Times New Roman" w:hint="eastAsia"/>
          <w:b/>
          <w:bCs/>
          <w:color w:val="EE0000"/>
          <w:sz w:val="24"/>
          <w:szCs w:val="28"/>
        </w:rPr>
      </w:pPr>
      <w:r w:rsidRPr="00422868">
        <w:rPr>
          <w:rFonts w:ascii="Times New Roman" w:hAnsi="Times New Roman" w:cs="Times New Roman" w:hint="eastAsia"/>
          <w:b/>
          <w:bCs/>
          <w:color w:val="EE0000"/>
          <w:sz w:val="24"/>
          <w:szCs w:val="28"/>
        </w:rPr>
        <w:t xml:space="preserve">Text </w:t>
      </w:r>
      <w:r w:rsidRPr="00422868">
        <w:rPr>
          <w:rFonts w:ascii="Times New Roman" w:hAnsi="Times New Roman" w:cs="Times New Roman" w:hint="eastAsia"/>
          <w:b/>
          <w:bCs/>
          <w:color w:val="EE0000"/>
          <w:sz w:val="24"/>
          <w:szCs w:val="28"/>
        </w:rPr>
        <w:t>Contains</w:t>
      </w:r>
    </w:p>
    <w:p w14:paraId="1B868303" w14:textId="51729581" w:rsidR="00D63CFC" w:rsidRPr="00422868" w:rsidRDefault="00D63CFC" w:rsidP="00D63CFC">
      <w:pPr>
        <w:widowControl/>
        <w:rPr>
          <w:rFonts w:ascii="Times New Roman" w:hAnsi="Times New Roman" w:cs="Times New Roman" w:hint="eastAsia"/>
          <w:b/>
          <w:bCs/>
          <w:color w:val="EE0000"/>
        </w:rPr>
      </w:pPr>
      <w:r w:rsidRPr="00422868">
        <w:rPr>
          <w:rFonts w:ascii="Times New Roman" w:hAnsi="Times New Roman" w:cs="Times New Roman"/>
          <w:b/>
          <w:bCs/>
          <w:color w:val="EE0000"/>
        </w:rPr>
        <w:t xml:space="preserve">Text S1. </w:t>
      </w:r>
      <w:r w:rsidR="00422868" w:rsidRPr="00422868">
        <w:rPr>
          <w:rFonts w:ascii="Times New Roman" w:hAnsi="Times New Roman" w:cs="Times New Roman"/>
          <w:color w:val="EE0000"/>
        </w:rPr>
        <w:t>The specific parameters of liquid slurry reflux in the TSAD system.</w:t>
      </w:r>
    </w:p>
    <w:p w14:paraId="125CCC42" w14:textId="59B9184F" w:rsidR="00D63CFC" w:rsidRPr="00422868" w:rsidRDefault="00D63CFC" w:rsidP="00D63CFC">
      <w:pPr>
        <w:widowControl/>
        <w:rPr>
          <w:rFonts w:ascii="Times New Roman" w:hAnsi="Times New Roman" w:cs="Times New Roman"/>
          <w:b/>
          <w:bCs/>
          <w:color w:val="EE0000"/>
        </w:rPr>
      </w:pPr>
      <w:r w:rsidRPr="00422868">
        <w:rPr>
          <w:rFonts w:ascii="Times New Roman" w:hAnsi="Times New Roman" w:cs="Times New Roman"/>
          <w:b/>
          <w:bCs/>
          <w:color w:val="EE0000"/>
        </w:rPr>
        <w:t xml:space="preserve">Text S2. </w:t>
      </w:r>
      <w:r w:rsidR="00422868" w:rsidRPr="00422868">
        <w:rPr>
          <w:rFonts w:ascii="Times New Roman" w:hAnsi="Times New Roman" w:cs="Times New Roman"/>
          <w:color w:val="EE0000"/>
        </w:rPr>
        <w:t xml:space="preserve">The detailed calculation method </w:t>
      </w:r>
      <w:r w:rsidR="00422868" w:rsidRPr="00422868">
        <w:rPr>
          <w:rFonts w:ascii="Times New Roman" w:hAnsi="Times New Roman" w:cs="Times New Roman" w:hint="eastAsia"/>
          <w:color w:val="EE0000"/>
        </w:rPr>
        <w:t>of c</w:t>
      </w:r>
      <w:r w:rsidR="00422868" w:rsidRPr="00422868">
        <w:rPr>
          <w:rFonts w:ascii="Times New Roman" w:hAnsi="Times New Roman" w:cs="Times New Roman"/>
          <w:color w:val="EE0000"/>
        </w:rPr>
        <w:t>arbon flow analysis.</w:t>
      </w:r>
    </w:p>
    <w:p w14:paraId="6093C59B" w14:textId="45C70362" w:rsidR="00D63CFC" w:rsidRPr="00422868" w:rsidRDefault="00D63CFC" w:rsidP="00D63CFC">
      <w:pPr>
        <w:widowControl/>
        <w:rPr>
          <w:rFonts w:ascii="Times New Roman" w:hAnsi="Times New Roman" w:cs="Times New Roman"/>
          <w:color w:val="EE0000"/>
        </w:rPr>
      </w:pPr>
      <w:r w:rsidRPr="00422868">
        <w:rPr>
          <w:rFonts w:ascii="Times New Roman" w:hAnsi="Times New Roman" w:cs="Times New Roman"/>
          <w:b/>
          <w:bCs/>
          <w:color w:val="EE0000"/>
        </w:rPr>
        <w:br w:type="page"/>
      </w:r>
    </w:p>
    <w:p w14:paraId="165C8BA1" w14:textId="6ECB80ED" w:rsidR="00D63CFC" w:rsidRPr="00422868" w:rsidRDefault="00392DB6">
      <w:pPr>
        <w:rPr>
          <w:rFonts w:ascii="Times New Roman" w:hAnsi="Times New Roman" w:cs="Times New Roman"/>
          <w:color w:val="EE0000"/>
        </w:rPr>
      </w:pPr>
      <w:r w:rsidRPr="00422868">
        <w:rPr>
          <w:rFonts w:ascii="Times New Roman" w:hAnsi="Times New Roman" w:cs="Times New Roman"/>
          <w:b/>
          <w:bCs/>
          <w:color w:val="EE0000"/>
        </w:rPr>
        <w:lastRenderedPageBreak/>
        <w:t>Text S1</w:t>
      </w:r>
      <w:r w:rsidRPr="00422868">
        <w:rPr>
          <w:rFonts w:ascii="Times New Roman" w:hAnsi="Times New Roman" w:cs="Times New Roman"/>
          <w:color w:val="EE0000"/>
        </w:rPr>
        <w:t xml:space="preserve"> </w:t>
      </w:r>
      <w:r w:rsidR="00111196" w:rsidRPr="00422868">
        <w:rPr>
          <w:rFonts w:ascii="Times New Roman" w:hAnsi="Times New Roman" w:cs="Times New Roman"/>
          <w:color w:val="EE0000"/>
        </w:rPr>
        <w:t>The specific parameters of liquid slurry reflux in the TSAD system</w:t>
      </w:r>
      <w:r w:rsidRPr="00422868">
        <w:rPr>
          <w:rFonts w:ascii="Times New Roman" w:hAnsi="Times New Roman" w:cs="Times New Roman"/>
          <w:color w:val="EE0000"/>
        </w:rPr>
        <w:t>.</w:t>
      </w:r>
    </w:p>
    <w:p w14:paraId="67E5EEC1" w14:textId="15111659" w:rsidR="00111196" w:rsidRPr="00422868" w:rsidRDefault="00422868" w:rsidP="00422868">
      <w:pPr>
        <w:spacing w:line="480" w:lineRule="auto"/>
        <w:ind w:firstLineChars="200" w:firstLine="440"/>
        <w:jc w:val="both"/>
        <w:rPr>
          <w:rFonts w:ascii="Times New Roman" w:hAnsi="Times New Roman" w:cs="Times New Roman" w:hint="eastAsia"/>
          <w:color w:val="EE0000"/>
        </w:rPr>
      </w:pPr>
      <w:r w:rsidRPr="00422868">
        <w:rPr>
          <w:rFonts w:ascii="Times New Roman" w:hAnsi="Times New Roman" w:cs="Times New Roman"/>
          <w:color w:val="EE0000"/>
        </w:rPr>
        <w:t>The volume of the reflux liquid</w:t>
      </w:r>
      <w:r w:rsidRPr="00422868">
        <w:rPr>
          <w:rFonts w:ascii="Times New Roman" w:hAnsi="Times New Roman" w:cs="Times New Roman"/>
          <w:color w:val="EE0000"/>
        </w:rPr>
        <w:t xml:space="preserve"> </w:t>
      </w:r>
      <w:r w:rsidRPr="00422868">
        <w:rPr>
          <w:rFonts w:ascii="Times New Roman" w:hAnsi="Times New Roman" w:cs="Times New Roman"/>
          <w:color w:val="EE0000"/>
        </w:rPr>
        <w:t>slurry is equal to that of the feed liquid</w:t>
      </w:r>
      <w:r>
        <w:rPr>
          <w:rFonts w:ascii="Times New Roman" w:hAnsi="Times New Roman" w:cs="Times New Roman" w:hint="eastAsia"/>
          <w:color w:val="EE0000"/>
        </w:rPr>
        <w:t xml:space="preserve"> of TR3 </w:t>
      </w:r>
      <w:r w:rsidRPr="00422868">
        <w:rPr>
          <w:rFonts w:ascii="Times New Roman" w:hAnsi="Times New Roman" w:cs="Times New Roman"/>
          <w:color w:val="EE0000"/>
        </w:rPr>
        <w:t>(e.g., under the total HRT of 30 days</w:t>
      </w:r>
      <w:r>
        <w:rPr>
          <w:rFonts w:ascii="Times New Roman" w:hAnsi="Times New Roman" w:cs="Times New Roman" w:hint="eastAsia"/>
          <w:color w:val="EE0000"/>
        </w:rPr>
        <w:t xml:space="preserve"> in </w:t>
      </w:r>
      <w:r w:rsidRPr="00422868">
        <w:rPr>
          <w:rFonts w:ascii="Times New Roman" w:hAnsi="Times New Roman" w:cs="Times New Roman"/>
          <w:color w:val="EE0000"/>
        </w:rPr>
        <w:t>the TSAD system, the reflux</w:t>
      </w:r>
      <w:r w:rsidRPr="00422868">
        <w:rPr>
          <w:rFonts w:ascii="Times New Roman" w:hAnsi="Times New Roman" w:cs="Times New Roman"/>
          <w:color w:val="EE0000"/>
        </w:rPr>
        <w:t xml:space="preserve"> </w:t>
      </w:r>
      <w:r w:rsidRPr="00422868">
        <w:rPr>
          <w:rFonts w:ascii="Times New Roman" w:hAnsi="Times New Roman" w:cs="Times New Roman"/>
          <w:color w:val="EE0000"/>
        </w:rPr>
        <w:t>volume is 333.3 mL; under the total HRT of 20 days, the reflux</w:t>
      </w:r>
      <w:r w:rsidRPr="00422868">
        <w:rPr>
          <w:rFonts w:ascii="Times New Roman" w:hAnsi="Times New Roman" w:cs="Times New Roman"/>
          <w:color w:val="EE0000"/>
        </w:rPr>
        <w:t xml:space="preserve"> </w:t>
      </w:r>
      <w:r w:rsidRPr="00422868">
        <w:rPr>
          <w:rFonts w:ascii="Times New Roman" w:hAnsi="Times New Roman" w:cs="Times New Roman"/>
          <w:color w:val="EE0000"/>
        </w:rPr>
        <w:t>volume is 500 mL; under the total HRT of 10 days, the reflux</w:t>
      </w:r>
      <w:r w:rsidRPr="00422868">
        <w:rPr>
          <w:rFonts w:ascii="Times New Roman" w:hAnsi="Times New Roman" w:cs="Times New Roman"/>
          <w:color w:val="EE0000"/>
        </w:rPr>
        <w:t xml:space="preserve"> </w:t>
      </w:r>
      <w:r w:rsidRPr="00422868">
        <w:rPr>
          <w:rFonts w:ascii="Times New Roman" w:hAnsi="Times New Roman" w:cs="Times New Roman"/>
          <w:color w:val="EE0000"/>
        </w:rPr>
        <w:t>volume is 1000 mL</w:t>
      </w:r>
      <w:r>
        <w:rPr>
          <w:rFonts w:ascii="Times New Roman" w:hAnsi="Times New Roman" w:cs="Times New Roman" w:hint="eastAsia"/>
          <w:color w:val="EE0000"/>
        </w:rPr>
        <w:t>)</w:t>
      </w:r>
      <w:r w:rsidRPr="00422868">
        <w:rPr>
          <w:rFonts w:ascii="Times New Roman" w:hAnsi="Times New Roman" w:cs="Times New Roman"/>
          <w:color w:val="EE0000"/>
        </w:rPr>
        <w:t>. The reflux ratio, defined as the volumetric ratio of daily refluxed liquid slurry to daily distilled water addition, was maintained at approximately 3.7:1 to stabilize the TS concentration in TR1 at about 15%.</w:t>
      </w:r>
      <w:r>
        <w:rPr>
          <w:rFonts w:ascii="Times New Roman" w:hAnsi="Times New Roman" w:cs="Times New Roman" w:hint="eastAsia"/>
          <w:color w:val="EE0000"/>
        </w:rPr>
        <w:t xml:space="preserve"> </w:t>
      </w:r>
      <w:r w:rsidRPr="00422868">
        <w:rPr>
          <w:rFonts w:ascii="Times New Roman" w:hAnsi="Times New Roman" w:cs="Times New Roman"/>
          <w:color w:val="EE0000"/>
        </w:rPr>
        <w:t>Although the liquid slurry was refluxed, the solid residues needed to be regularly discharged from the system. According to mass balance, the net solid residue discharge mainly came from the solid phase retained after centrifugation of TR1, and the daily net solid discharge volumes of the three operational phases were calculated to be 150, 225, and 450 g/d respectively. In each operational phase, the purge ratio (the volumetric ratio of daily discharged solid residues to daily total feeding) was stably maintained at approximately 22.3%.</w:t>
      </w:r>
    </w:p>
    <w:p w14:paraId="47ED4CFF" w14:textId="77777777" w:rsidR="00820BFE" w:rsidRPr="00422868" w:rsidRDefault="00820BFE">
      <w:pPr>
        <w:widowControl/>
        <w:rPr>
          <w:rFonts w:ascii="Times New Roman" w:hAnsi="Times New Roman" w:cs="Times New Roman"/>
          <w:b/>
          <w:bCs/>
          <w:color w:val="EE0000"/>
        </w:rPr>
      </w:pPr>
      <w:r w:rsidRPr="00422868">
        <w:rPr>
          <w:rFonts w:ascii="Times New Roman" w:hAnsi="Times New Roman" w:cs="Times New Roman"/>
          <w:b/>
          <w:bCs/>
          <w:color w:val="EE0000"/>
        </w:rPr>
        <w:br w:type="page"/>
      </w:r>
    </w:p>
    <w:p w14:paraId="53ECAD92" w14:textId="67AE8555" w:rsidR="00D63CFC" w:rsidRPr="00422868" w:rsidRDefault="00D63CFC" w:rsidP="00D63CFC">
      <w:pPr>
        <w:rPr>
          <w:rFonts w:ascii="Times New Roman" w:hAnsi="Times New Roman" w:cs="Times New Roman"/>
          <w:color w:val="EE0000"/>
        </w:rPr>
      </w:pPr>
      <w:r w:rsidRPr="00422868">
        <w:rPr>
          <w:rFonts w:ascii="Times New Roman" w:hAnsi="Times New Roman" w:cs="Times New Roman"/>
          <w:b/>
          <w:bCs/>
          <w:color w:val="EE0000"/>
        </w:rPr>
        <w:lastRenderedPageBreak/>
        <w:t>Text S</w:t>
      </w:r>
      <w:r w:rsidRPr="00422868">
        <w:rPr>
          <w:rFonts w:ascii="Times New Roman" w:hAnsi="Times New Roman" w:cs="Times New Roman" w:hint="eastAsia"/>
          <w:b/>
          <w:bCs/>
          <w:color w:val="EE0000"/>
        </w:rPr>
        <w:t>2</w:t>
      </w:r>
      <w:r w:rsidRPr="00422868">
        <w:rPr>
          <w:rFonts w:ascii="Times New Roman" w:hAnsi="Times New Roman" w:cs="Times New Roman"/>
          <w:color w:val="EE0000"/>
        </w:rPr>
        <w:t xml:space="preserve"> </w:t>
      </w:r>
      <w:r w:rsidR="00111196" w:rsidRPr="00422868">
        <w:rPr>
          <w:rFonts w:ascii="Times New Roman" w:hAnsi="Times New Roman" w:cs="Times New Roman"/>
          <w:color w:val="EE0000"/>
        </w:rPr>
        <w:t>The detailed calculation method</w:t>
      </w:r>
      <w:r w:rsidR="00111196" w:rsidRPr="00422868">
        <w:rPr>
          <w:rFonts w:ascii="Times New Roman" w:hAnsi="Times New Roman" w:cs="Times New Roman"/>
          <w:color w:val="EE0000"/>
        </w:rPr>
        <w:t xml:space="preserve"> </w:t>
      </w:r>
      <w:r w:rsidR="00111196" w:rsidRPr="00422868">
        <w:rPr>
          <w:rFonts w:ascii="Times New Roman" w:hAnsi="Times New Roman" w:cs="Times New Roman" w:hint="eastAsia"/>
          <w:color w:val="EE0000"/>
        </w:rPr>
        <w:t>of c</w:t>
      </w:r>
      <w:r w:rsidRPr="00422868">
        <w:rPr>
          <w:rFonts w:ascii="Times New Roman" w:hAnsi="Times New Roman" w:cs="Times New Roman"/>
          <w:color w:val="EE0000"/>
        </w:rPr>
        <w:t>arbon flow analysis.</w:t>
      </w:r>
    </w:p>
    <w:p w14:paraId="78F32F6E"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The initial total carbon of the two processes is derived from PM and RS substrates, and is calculated according to Eq. (1):</w:t>
      </w:r>
    </w:p>
    <w:p w14:paraId="246F8BB8" w14:textId="77777777" w:rsidR="00820BFE" w:rsidRPr="00422868" w:rsidRDefault="00820BFE" w:rsidP="00820BFE">
      <w:pPr>
        <w:spacing w:after="0" w:line="400" w:lineRule="exact"/>
        <w:ind w:firstLineChars="200" w:firstLine="480"/>
        <w:jc w:val="right"/>
        <w:rPr>
          <w:rFonts w:ascii="Times New Roman" w:eastAsia="宋体" w:hAnsi="Times New Roman" w:cs="Times New Roman"/>
          <w:color w:val="EE0000"/>
          <w:sz w:val="24"/>
          <w:szCs w:val="28"/>
          <w14:ligatures w14:val="none"/>
        </w:rPr>
      </w:pPr>
      <m:oMath>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C</m:t>
            </m:r>
          </m:e>
          <m:sub>
            <m:r>
              <m:rPr>
                <m:nor/>
              </m:rPr>
              <w:rPr>
                <w:rFonts w:ascii="Times New Roman" w:eastAsia="宋体" w:hAnsi="Times New Roman" w:cs="Times New Roman"/>
                <w:color w:val="EE0000"/>
                <w:sz w:val="24"/>
                <w:szCs w:val="28"/>
                <w14:ligatures w14:val="none"/>
              </w:rPr>
              <m:t>total</m:t>
            </m:r>
          </m:sub>
        </m:sSub>
        <m:r>
          <m:rPr>
            <m:nor/>
          </m:rPr>
          <w:rPr>
            <w:rFonts w:ascii="Times New Roman" w:eastAsia="宋体" w:hAnsi="Times New Roman" w:cs="Times New Roman"/>
            <w:color w:val="EE0000"/>
            <w:sz w:val="24"/>
            <w:szCs w:val="28"/>
            <w14:ligatures w14:val="none"/>
          </w:rPr>
          <m:t>=</m:t>
        </m:r>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TC</m:t>
            </m:r>
          </m:e>
          <m:sub>
            <m:r>
              <m:rPr>
                <m:nor/>
              </m:rPr>
              <w:rPr>
                <w:rFonts w:ascii="Times New Roman" w:eastAsia="宋体" w:hAnsi="Times New Roman" w:cs="Times New Roman"/>
                <w:color w:val="EE0000"/>
                <w:sz w:val="24"/>
                <w:szCs w:val="28"/>
                <w14:ligatures w14:val="none"/>
              </w:rPr>
              <m:t>PM</m:t>
            </m:r>
          </m:sub>
        </m:sSub>
        <m:r>
          <m:rPr>
            <m:nor/>
          </m:rPr>
          <w:rPr>
            <w:rFonts w:ascii="Times New Roman" w:eastAsia="宋体" w:hAnsi="Times New Roman" w:cs="Times New Roman"/>
            <w:color w:val="EE0000"/>
            <w:sz w:val="24"/>
            <w:szCs w:val="28"/>
            <w14:ligatures w14:val="none"/>
          </w:rPr>
          <m:t>×</m:t>
        </m:r>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TS</m:t>
            </m:r>
          </m:e>
          <m:sub>
            <m:r>
              <m:rPr>
                <m:nor/>
              </m:rPr>
              <w:rPr>
                <w:rFonts w:ascii="Times New Roman" w:eastAsia="宋体" w:hAnsi="Times New Roman" w:cs="Times New Roman"/>
                <w:color w:val="EE0000"/>
                <w:sz w:val="24"/>
                <w:szCs w:val="28"/>
                <w14:ligatures w14:val="none"/>
              </w:rPr>
              <m:t>PM</m:t>
            </m:r>
          </m:sub>
        </m:sSub>
        <m:r>
          <m:rPr>
            <m:nor/>
          </m:rPr>
          <w:rPr>
            <w:rFonts w:ascii="Times New Roman" w:eastAsia="宋体" w:hAnsi="Times New Roman" w:cs="Times New Roman"/>
            <w:color w:val="EE0000"/>
            <w:sz w:val="24"/>
            <w:szCs w:val="28"/>
            <w14:ligatures w14:val="none"/>
          </w:rPr>
          <m:t>×</m:t>
        </m:r>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M</m:t>
            </m:r>
          </m:e>
          <m:sub>
            <m:r>
              <m:rPr>
                <m:nor/>
              </m:rPr>
              <w:rPr>
                <w:rFonts w:ascii="Times New Roman" w:eastAsia="宋体" w:hAnsi="Times New Roman" w:cs="Times New Roman"/>
                <w:color w:val="EE0000"/>
                <w:sz w:val="24"/>
                <w:szCs w:val="28"/>
                <w14:ligatures w14:val="none"/>
              </w:rPr>
              <m:t>PM</m:t>
            </m:r>
          </m:sub>
        </m:sSub>
        <m:r>
          <m:rPr>
            <m:nor/>
          </m:rPr>
          <w:rPr>
            <w:rFonts w:ascii="Times New Roman" w:eastAsia="宋体" w:hAnsi="Times New Roman" w:cs="Times New Roman"/>
            <w:color w:val="EE0000"/>
            <w:sz w:val="24"/>
            <w:szCs w:val="28"/>
            <w14:ligatures w14:val="none"/>
          </w:rPr>
          <m:t>+</m:t>
        </m:r>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TC</m:t>
            </m:r>
          </m:e>
          <m:sub>
            <m:r>
              <m:rPr>
                <m:nor/>
              </m:rPr>
              <w:rPr>
                <w:rFonts w:ascii="Times New Roman" w:eastAsia="宋体" w:hAnsi="Times New Roman" w:cs="Times New Roman"/>
                <w:color w:val="EE0000"/>
                <w:sz w:val="24"/>
                <w:szCs w:val="28"/>
                <w14:ligatures w14:val="none"/>
              </w:rPr>
              <m:t>RS</m:t>
            </m:r>
          </m:sub>
        </m:sSub>
        <m:r>
          <m:rPr>
            <m:nor/>
          </m:rPr>
          <w:rPr>
            <w:rFonts w:ascii="Times New Roman" w:eastAsia="宋体" w:hAnsi="Times New Roman" w:cs="Times New Roman"/>
            <w:color w:val="EE0000"/>
            <w:sz w:val="24"/>
            <w:szCs w:val="28"/>
            <w14:ligatures w14:val="none"/>
          </w:rPr>
          <m:t>×</m:t>
        </m:r>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TS</m:t>
            </m:r>
          </m:e>
          <m:sub>
            <m:r>
              <m:rPr>
                <m:nor/>
              </m:rPr>
              <w:rPr>
                <w:rFonts w:ascii="Times New Roman" w:eastAsia="宋体" w:hAnsi="Times New Roman" w:cs="Times New Roman"/>
                <w:color w:val="EE0000"/>
                <w:sz w:val="24"/>
                <w:szCs w:val="28"/>
                <w14:ligatures w14:val="none"/>
              </w:rPr>
              <m:t>RS</m:t>
            </m:r>
          </m:sub>
        </m:sSub>
        <m:r>
          <m:rPr>
            <m:nor/>
          </m:rPr>
          <w:rPr>
            <w:rFonts w:ascii="Times New Roman" w:eastAsia="宋体" w:hAnsi="Times New Roman" w:cs="Times New Roman"/>
            <w:color w:val="EE0000"/>
            <w:sz w:val="24"/>
            <w:szCs w:val="28"/>
            <w14:ligatures w14:val="none"/>
          </w:rPr>
          <m:t>×</m:t>
        </m:r>
        <m:sSub>
          <m:sSubPr>
            <m:ctrlPr>
              <w:rPr>
                <w:rFonts w:ascii="Cambria Math" w:eastAsia="宋体" w:hAnsi="Cambria Math" w:cs="Times New Roman"/>
                <w:i/>
                <w:color w:val="EE0000"/>
                <w:sz w:val="24"/>
                <w:szCs w:val="28"/>
                <w14:ligatures w14:val="none"/>
              </w:rPr>
            </m:ctrlPr>
          </m:sSubPr>
          <m:e>
            <m:r>
              <m:rPr>
                <m:nor/>
              </m:rPr>
              <w:rPr>
                <w:rFonts w:ascii="Times New Roman" w:eastAsia="宋体" w:hAnsi="Times New Roman" w:cs="Times New Roman"/>
                <w:color w:val="EE0000"/>
                <w:sz w:val="24"/>
                <w:szCs w:val="28"/>
                <w14:ligatures w14:val="none"/>
              </w:rPr>
              <m:t>M</m:t>
            </m:r>
          </m:e>
          <m:sub>
            <m:r>
              <m:rPr>
                <m:nor/>
              </m:rPr>
              <w:rPr>
                <w:rFonts w:ascii="Times New Roman" w:eastAsia="宋体" w:hAnsi="Times New Roman" w:cs="Times New Roman"/>
                <w:color w:val="EE0000"/>
                <w:sz w:val="24"/>
                <w:szCs w:val="28"/>
                <w14:ligatures w14:val="none"/>
              </w:rPr>
              <m:t>RS</m:t>
            </m:r>
          </m:sub>
        </m:sSub>
      </m:oMath>
      <w:r w:rsidRPr="00422868">
        <w:rPr>
          <w:rFonts w:ascii="Times New Roman" w:eastAsia="宋体" w:hAnsi="Times New Roman" w:cs="Times New Roman"/>
          <w:color w:val="EE0000"/>
          <w:sz w:val="24"/>
          <w:szCs w:val="28"/>
          <w14:ligatures w14:val="none"/>
        </w:rPr>
        <w:t xml:space="preserve">        (1)</w:t>
      </w:r>
    </w:p>
    <w:p w14:paraId="664FD5F4"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 xml:space="preserve">Where </w:t>
      </w:r>
      <w:proofErr w:type="spellStart"/>
      <w:r w:rsidRPr="00422868">
        <w:rPr>
          <w:rFonts w:ascii="Times New Roman" w:hAnsi="Times New Roman" w:cs="Times New Roman"/>
          <w:color w:val="EE0000"/>
          <w:sz w:val="24"/>
          <w14:ligatures w14:val="none"/>
        </w:rPr>
        <w:t>C</w:t>
      </w:r>
      <w:r w:rsidRPr="00422868">
        <w:rPr>
          <w:rFonts w:ascii="Times New Roman" w:hAnsi="Times New Roman" w:cs="Times New Roman"/>
          <w:color w:val="EE0000"/>
          <w:sz w:val="24"/>
          <w:vertAlign w:val="subscript"/>
          <w14:ligatures w14:val="none"/>
        </w:rPr>
        <w:t>total</w:t>
      </w:r>
      <w:proofErr w:type="spellEnd"/>
      <w:r w:rsidRPr="00422868">
        <w:rPr>
          <w:rFonts w:ascii="Times New Roman" w:hAnsi="Times New Roman" w:cs="Times New Roman"/>
          <w:color w:val="EE0000"/>
          <w:sz w:val="24"/>
          <w14:ligatures w14:val="none"/>
        </w:rPr>
        <w:t xml:space="preserve"> is the initial total carbon amount of the system (mg); TC</w:t>
      </w:r>
      <w:r w:rsidRPr="00422868">
        <w:rPr>
          <w:rFonts w:ascii="Times New Roman" w:hAnsi="Times New Roman" w:cs="Times New Roman"/>
          <w:color w:val="EE0000"/>
          <w:sz w:val="24"/>
          <w:vertAlign w:val="subscript"/>
          <w14:ligatures w14:val="none"/>
        </w:rPr>
        <w:t>RS</w:t>
      </w:r>
      <w:r w:rsidRPr="00422868">
        <w:rPr>
          <w:rFonts w:ascii="Times New Roman" w:hAnsi="Times New Roman" w:cs="Times New Roman"/>
          <w:color w:val="EE0000"/>
          <w:sz w:val="24"/>
          <w14:ligatures w14:val="none"/>
        </w:rPr>
        <w:t xml:space="preserve"> and TC</w:t>
      </w:r>
      <w:r w:rsidRPr="00422868">
        <w:rPr>
          <w:rFonts w:ascii="Times New Roman" w:hAnsi="Times New Roman" w:cs="Times New Roman"/>
          <w:color w:val="EE0000"/>
          <w:sz w:val="24"/>
          <w:vertAlign w:val="subscript"/>
          <w14:ligatures w14:val="none"/>
        </w:rPr>
        <w:t>PM</w:t>
      </w:r>
      <w:r w:rsidRPr="00422868">
        <w:rPr>
          <w:rFonts w:ascii="Times New Roman" w:hAnsi="Times New Roman" w:cs="Times New Roman"/>
          <w:color w:val="EE0000"/>
          <w:sz w:val="24"/>
          <w:szCs w:val="22"/>
          <w14:ligatures w14:val="none"/>
        </w:rPr>
        <w:t xml:space="preserve"> </w:t>
      </w:r>
      <w:r w:rsidRPr="00422868">
        <w:rPr>
          <w:rFonts w:ascii="Times New Roman" w:hAnsi="Times New Roman" w:cs="Times New Roman"/>
          <w:color w:val="EE0000"/>
          <w:sz w:val="24"/>
          <w14:ligatures w14:val="none"/>
        </w:rPr>
        <w:t>represent carbon content in the dry matter of RS and PM (mg/g); TS</w:t>
      </w:r>
      <w:r w:rsidRPr="00422868">
        <w:rPr>
          <w:rFonts w:ascii="Times New Roman" w:hAnsi="Times New Roman" w:cs="Times New Roman"/>
          <w:color w:val="EE0000"/>
          <w:sz w:val="24"/>
          <w:vertAlign w:val="subscript"/>
          <w14:ligatures w14:val="none"/>
        </w:rPr>
        <w:t>RS</w:t>
      </w:r>
      <w:r w:rsidRPr="00422868">
        <w:rPr>
          <w:rFonts w:ascii="Times New Roman" w:hAnsi="Times New Roman" w:cs="Times New Roman"/>
          <w:color w:val="EE0000"/>
          <w:sz w:val="24"/>
          <w14:ligatures w14:val="none"/>
        </w:rPr>
        <w:t xml:space="preserve"> and TS</w:t>
      </w:r>
      <w:r w:rsidRPr="00422868">
        <w:rPr>
          <w:rFonts w:ascii="Times New Roman" w:hAnsi="Times New Roman" w:cs="Times New Roman"/>
          <w:color w:val="EE0000"/>
          <w:sz w:val="24"/>
          <w:vertAlign w:val="subscript"/>
          <w14:ligatures w14:val="none"/>
        </w:rPr>
        <w:t>PM</w:t>
      </w:r>
      <w:r w:rsidRPr="00422868">
        <w:rPr>
          <w:rFonts w:ascii="Times New Roman" w:hAnsi="Times New Roman" w:cs="Times New Roman"/>
          <w:color w:val="EE0000"/>
          <w:sz w:val="24"/>
          <w:szCs w:val="22"/>
          <w14:ligatures w14:val="none"/>
        </w:rPr>
        <w:t xml:space="preserve"> </w:t>
      </w:r>
      <w:r w:rsidRPr="00422868">
        <w:rPr>
          <w:rFonts w:ascii="Times New Roman" w:hAnsi="Times New Roman" w:cs="Times New Roman"/>
          <w:color w:val="EE0000"/>
          <w:sz w:val="24"/>
          <w14:ligatures w14:val="none"/>
        </w:rPr>
        <w:t>represent the solid content rates of RS and PM (%); M</w:t>
      </w:r>
      <w:r w:rsidRPr="00422868">
        <w:rPr>
          <w:rFonts w:ascii="Times New Roman" w:hAnsi="Times New Roman" w:cs="Times New Roman"/>
          <w:color w:val="EE0000"/>
          <w:sz w:val="24"/>
          <w:vertAlign w:val="subscript"/>
          <w14:ligatures w14:val="none"/>
        </w:rPr>
        <w:t>RS</w:t>
      </w:r>
      <w:r w:rsidRPr="00422868">
        <w:rPr>
          <w:rFonts w:ascii="Times New Roman" w:hAnsi="Times New Roman" w:cs="Times New Roman"/>
          <w:color w:val="EE0000"/>
          <w:sz w:val="24"/>
          <w14:ligatures w14:val="none"/>
        </w:rPr>
        <w:t xml:space="preserve"> and M</w:t>
      </w:r>
      <w:r w:rsidRPr="00422868">
        <w:rPr>
          <w:rFonts w:ascii="Times New Roman" w:hAnsi="Times New Roman" w:cs="Times New Roman"/>
          <w:color w:val="EE0000"/>
          <w:sz w:val="24"/>
          <w:vertAlign w:val="subscript"/>
          <w14:ligatures w14:val="none"/>
        </w:rPr>
        <w:t>PM</w:t>
      </w:r>
      <w:r w:rsidRPr="00422868">
        <w:rPr>
          <w:rFonts w:ascii="Times New Roman" w:hAnsi="Times New Roman" w:cs="Times New Roman"/>
          <w:color w:val="EE0000"/>
          <w:sz w:val="24"/>
          <w:szCs w:val="22"/>
          <w14:ligatures w14:val="none"/>
        </w:rPr>
        <w:t xml:space="preserve"> </w:t>
      </w:r>
      <w:r w:rsidRPr="00422868">
        <w:rPr>
          <w:rFonts w:ascii="Times New Roman" w:hAnsi="Times New Roman" w:cs="Times New Roman"/>
          <w:color w:val="EE0000"/>
          <w:sz w:val="24"/>
          <w14:ligatures w14:val="none"/>
        </w:rPr>
        <w:t>represent the addition amounts of RS and PM (g). The initial total carbon amount of each treatment group is fixed.</w:t>
      </w:r>
    </w:p>
    <w:p w14:paraId="1FCFCFC1"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The solid carbon (C</w:t>
      </w:r>
      <w:r w:rsidRPr="00422868">
        <w:rPr>
          <w:rFonts w:ascii="Times New Roman" w:hAnsi="Times New Roman" w:cs="Times New Roman"/>
          <w:color w:val="EE0000"/>
          <w:sz w:val="24"/>
          <w:vertAlign w:val="subscript"/>
          <w14:ligatures w14:val="none"/>
        </w:rPr>
        <w:t>S</w:t>
      </w:r>
      <w:r w:rsidRPr="00422868">
        <w:rPr>
          <w:rFonts w:ascii="Times New Roman" w:hAnsi="Times New Roman" w:cs="Times New Roman"/>
          <w:color w:val="EE0000"/>
          <w:sz w:val="24"/>
          <w14:ligatures w14:val="none"/>
        </w:rPr>
        <w:t>)and liquid carbon (C</w:t>
      </w:r>
      <w:r w:rsidRPr="00422868">
        <w:rPr>
          <w:rFonts w:ascii="Times New Roman" w:hAnsi="Times New Roman" w:cs="Times New Roman"/>
          <w:color w:val="EE0000"/>
          <w:sz w:val="24"/>
          <w:vertAlign w:val="subscript"/>
          <w14:ligatures w14:val="none"/>
        </w:rPr>
        <w:t>L</w:t>
      </w:r>
      <w:r w:rsidRPr="00422868">
        <w:rPr>
          <w:rFonts w:ascii="Times New Roman" w:hAnsi="Times New Roman" w:cs="Times New Roman"/>
          <w:color w:val="EE0000"/>
          <w:sz w:val="24"/>
          <w14:ligatures w14:val="none"/>
        </w:rPr>
        <w:t>) in the discharge are calculated according to Eq. (2) - (3):</w:t>
      </w:r>
    </w:p>
    <w:p w14:paraId="0261D7FD" w14:textId="77777777" w:rsidR="00820BFE" w:rsidRPr="00422868" w:rsidRDefault="00820BFE" w:rsidP="00820BFE">
      <w:pPr>
        <w:spacing w:after="0" w:line="480" w:lineRule="auto"/>
        <w:ind w:firstLineChars="200" w:firstLine="480"/>
        <w:jc w:val="right"/>
        <w:rPr>
          <w:rFonts w:ascii="Times New Roman" w:hAnsi="Times New Roman" w:cs="Times New Roman"/>
          <w:color w:val="EE0000"/>
          <w:sz w:val="24"/>
          <w14:ligatures w14:val="none"/>
        </w:rPr>
      </w:pPr>
      <m:oMath>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S</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M</m:t>
            </m:r>
          </m:e>
          <m:sub>
            <w:proofErr w:type="spellStart"/>
            <m:r>
              <m:rPr>
                <m:nor/>
              </m:rPr>
              <w:rPr>
                <w:rFonts w:ascii="Times New Roman" w:hAnsi="Times New Roman" w:cs="Times New Roman"/>
                <w:color w:val="EE0000"/>
                <w:sz w:val="24"/>
                <w14:ligatures w14:val="none"/>
              </w:rPr>
              <m:t>i</m:t>
            </m:r>
            <w:proofErr w:type="spellEnd"/>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TS</m:t>
            </m:r>
          </m:e>
          <m:sub>
            <w:proofErr w:type="spellStart"/>
            <m:r>
              <m:rPr>
                <m:nor/>
              </m:rPr>
              <w:rPr>
                <w:rFonts w:ascii="Times New Roman" w:hAnsi="Times New Roman" w:cs="Times New Roman"/>
                <w:color w:val="EE0000"/>
                <w:sz w:val="24"/>
                <w14:ligatures w14:val="none"/>
              </w:rPr>
              <m:t>i</m:t>
            </m:r>
            <w:proofErr w:type="spellEnd"/>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TC</m:t>
            </m:r>
          </m:e>
          <m:sub>
            <m:r>
              <m:rPr>
                <m:nor/>
              </m:rPr>
              <w:rPr>
                <w:rFonts w:ascii="Times New Roman" w:hAnsi="Times New Roman" w:cs="Times New Roman"/>
                <w:color w:val="EE0000"/>
                <w:sz w:val="24"/>
                <w14:ligatures w14:val="none"/>
              </w:rPr>
              <m:t>Si</m:t>
            </m:r>
          </m:sub>
        </m:sSub>
      </m:oMath>
      <w:r w:rsidRPr="00422868">
        <w:rPr>
          <w:rFonts w:ascii="Times New Roman" w:hAnsi="Times New Roman" w:cs="Times New Roman"/>
          <w:color w:val="EE0000"/>
          <w:sz w:val="24"/>
          <w14:ligatures w14:val="none"/>
        </w:rPr>
        <w:t xml:space="preserve">                      (2)</w:t>
      </w:r>
    </w:p>
    <w:p w14:paraId="7EA7B336" w14:textId="77777777" w:rsidR="00820BFE" w:rsidRPr="00422868" w:rsidRDefault="00820BFE" w:rsidP="00820BFE">
      <w:pPr>
        <w:spacing w:after="0" w:line="480" w:lineRule="auto"/>
        <w:ind w:firstLineChars="200" w:firstLine="480"/>
        <w:jc w:val="right"/>
        <w:rPr>
          <w:rFonts w:ascii="Times New Roman" w:hAnsi="Times New Roman" w:cs="Times New Roman"/>
          <w:color w:val="EE0000"/>
          <w:sz w:val="24"/>
          <w14:ligatures w14:val="none"/>
        </w:rPr>
      </w:pPr>
      <m:oMath>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L</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M</m:t>
            </m:r>
          </m:e>
          <m:sub>
            <w:proofErr w:type="spellStart"/>
            <m:r>
              <m:rPr>
                <m:nor/>
              </m:rPr>
              <w:rPr>
                <w:rFonts w:ascii="Times New Roman" w:hAnsi="Times New Roman" w:cs="Times New Roman"/>
                <w:color w:val="EE0000"/>
                <w:sz w:val="24"/>
                <w14:ligatures w14:val="none"/>
              </w:rPr>
              <m:t>i</m:t>
            </m:r>
            <w:proofErr w:type="spellEnd"/>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(1-TS</m:t>
            </m:r>
          </m:e>
          <m:sub>
            <w:proofErr w:type="spellStart"/>
            <m:r>
              <m:rPr>
                <m:nor/>
              </m:rPr>
              <w:rPr>
                <w:rFonts w:ascii="Times New Roman" w:hAnsi="Times New Roman" w:cs="Times New Roman"/>
                <w:color w:val="EE0000"/>
                <w:sz w:val="24"/>
                <w14:ligatures w14:val="none"/>
              </w:rPr>
              <m:t>i</m:t>
            </m:r>
            <w:proofErr w:type="spellEnd"/>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TC</m:t>
            </m:r>
          </m:e>
          <m:sub>
            <m:r>
              <m:rPr>
                <m:nor/>
              </m:rPr>
              <w:rPr>
                <w:rFonts w:ascii="Times New Roman" w:hAnsi="Times New Roman" w:cs="Times New Roman"/>
                <w:color w:val="EE0000"/>
                <w:sz w:val="24"/>
                <w14:ligatures w14:val="none"/>
              </w:rPr>
              <m:t>Li</m:t>
            </m:r>
          </m:sub>
        </m:sSub>
      </m:oMath>
      <w:r w:rsidRPr="00422868">
        <w:rPr>
          <w:rFonts w:ascii="Times New Roman" w:hAnsi="Times New Roman" w:cs="Times New Roman"/>
          <w:color w:val="EE0000"/>
          <w:sz w:val="24"/>
          <w14:ligatures w14:val="none"/>
        </w:rPr>
        <w:t xml:space="preserve">                     (3)</w:t>
      </w:r>
    </w:p>
    <w:p w14:paraId="02932891"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Where M</w:t>
      </w:r>
      <w:r w:rsidRPr="00422868">
        <w:rPr>
          <w:rFonts w:ascii="Times New Roman" w:hAnsi="Times New Roman" w:cs="Times New Roman"/>
          <w:color w:val="EE0000"/>
          <w:sz w:val="24"/>
          <w:vertAlign w:val="subscript"/>
          <w14:ligatures w14:val="none"/>
        </w:rPr>
        <w:t>i</w:t>
      </w:r>
      <w:r w:rsidRPr="00422868">
        <w:rPr>
          <w:rFonts w:ascii="Times New Roman" w:hAnsi="Times New Roman" w:cs="Times New Roman"/>
          <w:color w:val="EE0000"/>
          <w:sz w:val="24"/>
          <w14:ligatures w14:val="none"/>
        </w:rPr>
        <w:t xml:space="preserve"> is the total mass of the mixture in group </w:t>
      </w:r>
      <w:proofErr w:type="spellStart"/>
      <w:r w:rsidRPr="00422868">
        <w:rPr>
          <w:rFonts w:ascii="Times New Roman" w:hAnsi="Times New Roman" w:cs="Times New Roman"/>
          <w:color w:val="EE0000"/>
          <w:sz w:val="24"/>
          <w14:ligatures w14:val="none"/>
        </w:rPr>
        <w:t>i</w:t>
      </w:r>
      <w:proofErr w:type="spellEnd"/>
      <w:r w:rsidRPr="00422868">
        <w:rPr>
          <w:rFonts w:ascii="Times New Roman" w:hAnsi="Times New Roman" w:cs="Times New Roman"/>
          <w:color w:val="EE0000"/>
          <w:sz w:val="24"/>
          <w14:ligatures w14:val="none"/>
        </w:rPr>
        <w:t xml:space="preserve"> after fermentation (g); </w:t>
      </w:r>
      <w:proofErr w:type="spellStart"/>
      <w:r w:rsidRPr="00422868">
        <w:rPr>
          <w:rFonts w:ascii="Times New Roman" w:hAnsi="Times New Roman" w:cs="Times New Roman"/>
          <w:color w:val="EE0000"/>
          <w:sz w:val="24"/>
          <w14:ligatures w14:val="none"/>
        </w:rPr>
        <w:t>TS</w:t>
      </w:r>
      <w:r w:rsidRPr="00422868">
        <w:rPr>
          <w:rFonts w:ascii="Times New Roman" w:hAnsi="Times New Roman" w:cs="Times New Roman"/>
          <w:color w:val="EE0000"/>
          <w:sz w:val="24"/>
          <w:vertAlign w:val="subscript"/>
          <w14:ligatures w14:val="none"/>
        </w:rPr>
        <w:t>i</w:t>
      </w:r>
      <w:proofErr w:type="spellEnd"/>
      <w:r w:rsidRPr="00422868">
        <w:rPr>
          <w:rFonts w:ascii="Times New Roman" w:hAnsi="Times New Roman" w:cs="Times New Roman"/>
          <w:color w:val="EE0000"/>
          <w:sz w:val="24"/>
          <w14:ligatures w14:val="none"/>
        </w:rPr>
        <w:t xml:space="preserve"> represents the corresponding solid content rate (%); </w:t>
      </w:r>
      <w:proofErr w:type="spellStart"/>
      <w:r w:rsidRPr="00422868">
        <w:rPr>
          <w:rFonts w:ascii="Times New Roman" w:hAnsi="Times New Roman" w:cs="Times New Roman"/>
          <w:color w:val="EE0000"/>
          <w:sz w:val="24"/>
          <w14:ligatures w14:val="none"/>
        </w:rPr>
        <w:t>TC</w:t>
      </w:r>
      <w:r w:rsidRPr="00422868">
        <w:rPr>
          <w:rFonts w:ascii="Times New Roman" w:hAnsi="Times New Roman" w:cs="Times New Roman"/>
          <w:color w:val="EE0000"/>
          <w:sz w:val="24"/>
          <w:vertAlign w:val="subscript"/>
          <w14:ligatures w14:val="none"/>
        </w:rPr>
        <w:t>Si</w:t>
      </w:r>
      <w:proofErr w:type="spellEnd"/>
      <w:r w:rsidRPr="00422868">
        <w:rPr>
          <w:rFonts w:ascii="Times New Roman" w:hAnsi="Times New Roman" w:cs="Times New Roman"/>
          <w:color w:val="EE0000"/>
          <w:sz w:val="24"/>
          <w14:ligatures w14:val="none"/>
        </w:rPr>
        <w:t xml:space="preserve">, </w:t>
      </w:r>
      <w:proofErr w:type="spellStart"/>
      <w:r w:rsidRPr="00422868">
        <w:rPr>
          <w:rFonts w:ascii="Times New Roman" w:hAnsi="Times New Roman" w:cs="Times New Roman"/>
          <w:color w:val="EE0000"/>
          <w:sz w:val="24"/>
          <w14:ligatures w14:val="none"/>
        </w:rPr>
        <w:t>TC</w:t>
      </w:r>
      <w:r w:rsidRPr="00422868">
        <w:rPr>
          <w:rFonts w:ascii="Times New Roman" w:hAnsi="Times New Roman" w:cs="Times New Roman"/>
          <w:color w:val="EE0000"/>
          <w:sz w:val="24"/>
          <w:vertAlign w:val="subscript"/>
          <w14:ligatures w14:val="none"/>
        </w:rPr>
        <w:t>Li</w:t>
      </w:r>
      <w:proofErr w:type="spellEnd"/>
      <w:r w:rsidRPr="00422868">
        <w:rPr>
          <w:rFonts w:ascii="Times New Roman" w:hAnsi="Times New Roman" w:cs="Times New Roman"/>
          <w:color w:val="EE0000"/>
          <w:sz w:val="24"/>
          <w14:ligatures w14:val="none"/>
        </w:rPr>
        <w:t xml:space="preserve"> represent the TC contents of the solid and liquid fractions (mg/g and mg/L, respectively).</w:t>
      </w:r>
    </w:p>
    <w:p w14:paraId="6287F626"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The gas carbon is calculated according to Eq. (4):</w:t>
      </w:r>
    </w:p>
    <w:p w14:paraId="14FB07D8" w14:textId="77777777" w:rsidR="00820BFE" w:rsidRPr="00422868" w:rsidRDefault="00820BFE" w:rsidP="00820BFE">
      <w:pPr>
        <w:spacing w:after="0" w:line="480" w:lineRule="auto"/>
        <w:ind w:firstLineChars="200" w:firstLine="480"/>
        <w:jc w:val="right"/>
        <w:rPr>
          <w:rFonts w:ascii="Times New Roman" w:hAnsi="Times New Roman" w:cs="Times New Roman"/>
          <w:color w:val="EE0000"/>
          <w:sz w:val="24"/>
          <w14:ligatures w14:val="none"/>
        </w:rPr>
      </w:pPr>
      <m:oMath>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Gas</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V</m:t>
            </m:r>
          </m:e>
          <m:sub>
            <m:r>
              <m:rPr>
                <m:nor/>
              </m:rPr>
              <w:rPr>
                <w:rFonts w:ascii="Times New Roman" w:hAnsi="Times New Roman" w:cs="Times New Roman"/>
                <w:color w:val="EE0000"/>
                <w:sz w:val="24"/>
                <w14:ligatures w14:val="none"/>
              </w:rPr>
              <m:t>Gas</m:t>
            </m:r>
          </m:sub>
        </m:sSub>
        <m:r>
          <w:rPr>
            <w:rFonts w:ascii="Cambria Math" w:hAnsi="Cambria Math" w:cs="Times New Roman"/>
            <w:color w:val="EE0000"/>
            <w:sz w:val="24"/>
            <w14:ligatures w14:val="none"/>
          </w:rPr>
          <m:t>/</m:t>
        </m:r>
        <m:r>
          <m:rPr>
            <m:nor/>
          </m:rPr>
          <w:rPr>
            <w:rFonts w:ascii="Times New Roman" w:hAnsi="Times New Roman" w:cs="Times New Roman"/>
            <w:color w:val="EE0000"/>
            <w:sz w:val="24"/>
            <w14:ligatures w14:val="none"/>
          </w:rPr>
          <m:t>1.87</m:t>
        </m:r>
      </m:oMath>
      <w:r w:rsidRPr="00422868">
        <w:rPr>
          <w:rFonts w:ascii="Times New Roman" w:hAnsi="Times New Roman" w:cs="Times New Roman"/>
          <w:color w:val="EE0000"/>
          <w:sz w:val="24"/>
          <w14:ligatures w14:val="none"/>
        </w:rPr>
        <w:t xml:space="preserve">                   (4)</w:t>
      </w:r>
    </w:p>
    <w:p w14:paraId="7D68B37F"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 xml:space="preserve">Where </w:t>
      </w:r>
      <w:proofErr w:type="spellStart"/>
      <w:r w:rsidRPr="00422868">
        <w:rPr>
          <w:rFonts w:ascii="Times New Roman" w:hAnsi="Times New Roman" w:cs="Times New Roman"/>
          <w:color w:val="EE0000"/>
          <w:sz w:val="24"/>
          <w14:ligatures w14:val="none"/>
        </w:rPr>
        <w:t>V</w:t>
      </w:r>
      <w:r w:rsidRPr="00422868">
        <w:rPr>
          <w:rFonts w:ascii="Times New Roman" w:hAnsi="Times New Roman" w:cs="Times New Roman"/>
          <w:color w:val="EE0000"/>
          <w:sz w:val="24"/>
          <w:vertAlign w:val="subscript"/>
          <w14:ligatures w14:val="none"/>
        </w:rPr>
        <w:t>Gas</w:t>
      </w:r>
      <w:proofErr w:type="spellEnd"/>
      <w:r w:rsidRPr="00422868">
        <w:rPr>
          <w:rFonts w:ascii="Times New Roman" w:hAnsi="Times New Roman" w:cs="Times New Roman"/>
          <w:color w:val="EE0000"/>
          <w:sz w:val="24"/>
          <w14:ligatures w14:val="none"/>
        </w:rPr>
        <w:t xml:space="preserve"> is the gas volume (mL); the conversion coefficient 1.87 mL/mg C is calculated based on the standard state gas molar volume.</w:t>
      </w:r>
    </w:p>
    <w:p w14:paraId="34BAFAA9"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In the SSAD process, hydrolysis, acidification and methane production are carried out in the same reactor, and the carbon is ultimately distributed in the biogas residue, BS and CH</w:t>
      </w:r>
      <w:r w:rsidRPr="00422868">
        <w:rPr>
          <w:rFonts w:ascii="Times New Roman" w:hAnsi="Times New Roman" w:cs="Times New Roman"/>
          <w:color w:val="EE0000"/>
          <w:sz w:val="24"/>
          <w:vertAlign w:val="subscript"/>
          <w14:ligatures w14:val="none"/>
        </w:rPr>
        <w:t>4</w:t>
      </w:r>
      <w:r w:rsidRPr="00422868">
        <w:rPr>
          <w:rFonts w:ascii="Times New Roman" w:hAnsi="Times New Roman" w:cs="Times New Roman"/>
          <w:color w:val="EE0000"/>
          <w:sz w:val="24"/>
          <w14:ligatures w14:val="none"/>
        </w:rPr>
        <w:t xml:space="preserve"> and CO</w:t>
      </w:r>
      <w:r w:rsidRPr="00422868">
        <w:rPr>
          <w:rFonts w:ascii="Times New Roman" w:hAnsi="Times New Roman" w:cs="Times New Roman"/>
          <w:color w:val="EE0000"/>
          <w:sz w:val="24"/>
          <w:vertAlign w:val="subscript"/>
          <w14:ligatures w14:val="none"/>
        </w:rPr>
        <w:t>2</w:t>
      </w:r>
      <w:r w:rsidRPr="00422868">
        <w:rPr>
          <w:rFonts w:ascii="Times New Roman" w:hAnsi="Times New Roman" w:cs="Times New Roman"/>
          <w:color w:val="EE0000"/>
          <w:sz w:val="24"/>
          <w14:ligatures w14:val="none"/>
        </w:rPr>
        <w:t>. Calculations can be made according to Eq. (2) - (4).</w:t>
      </w:r>
    </w:p>
    <w:p w14:paraId="042EF20D"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lastRenderedPageBreak/>
        <w:t>In the TSAD process, hydrolysis, acidification and CH</w:t>
      </w:r>
      <w:r w:rsidRPr="00422868">
        <w:rPr>
          <w:rFonts w:ascii="Times New Roman" w:hAnsi="Times New Roman" w:cs="Times New Roman"/>
          <w:color w:val="EE0000"/>
          <w:sz w:val="24"/>
          <w:vertAlign w:val="subscript"/>
          <w14:ligatures w14:val="none"/>
        </w:rPr>
        <w:t>4</w:t>
      </w:r>
      <w:r w:rsidRPr="00422868">
        <w:rPr>
          <w:rFonts w:ascii="Times New Roman" w:hAnsi="Times New Roman" w:cs="Times New Roman"/>
          <w:color w:val="EE0000"/>
          <w:sz w:val="24"/>
          <w14:ligatures w14:val="none"/>
        </w:rPr>
        <w:t xml:space="preserve"> production are carried out in stages, and the carbon flow in each stage is calculated separately. The carbon in the hydrolysis stage is mainly distributed in the hydrolysis residue (C</w:t>
      </w:r>
      <w:r w:rsidRPr="00422868">
        <w:rPr>
          <w:rFonts w:ascii="Times New Roman" w:hAnsi="Times New Roman" w:cs="Times New Roman"/>
          <w:color w:val="EE0000"/>
          <w:sz w:val="24"/>
          <w:vertAlign w:val="subscript"/>
          <w14:ligatures w14:val="none"/>
        </w:rPr>
        <w:t>H,R</w:t>
      </w:r>
      <w:r w:rsidRPr="00422868">
        <w:rPr>
          <w:rFonts w:ascii="Times New Roman" w:hAnsi="Times New Roman" w:cs="Times New Roman"/>
          <w:color w:val="EE0000"/>
          <w:sz w:val="24"/>
          <w14:ligatures w14:val="none"/>
        </w:rPr>
        <w:t>, including the solid carbon after solid-liquid separation of the effluent from the hydrolysis stage, as well as the liquid carbon that did not enter the acidification stage, calculated according to Eq. (5)), the actual hydrolysate entering the acidification tank (C</w:t>
      </w:r>
      <w:r w:rsidRPr="00422868">
        <w:rPr>
          <w:rFonts w:ascii="Times New Roman" w:hAnsi="Times New Roman" w:cs="Times New Roman"/>
          <w:color w:val="EE0000"/>
          <w:sz w:val="24"/>
          <w:vertAlign w:val="subscript"/>
          <w14:ligatures w14:val="none"/>
        </w:rPr>
        <w:t>H,L→A</w:t>
      </w:r>
      <w:r w:rsidRPr="00422868">
        <w:rPr>
          <w:rFonts w:ascii="Times New Roman" w:hAnsi="Times New Roman" w:cs="Times New Roman"/>
          <w:color w:val="EE0000"/>
          <w:sz w:val="24"/>
          <w14:ligatures w14:val="none"/>
        </w:rPr>
        <w:t>), and the carbon lost in gaseous form under aerobic action (</w:t>
      </w:r>
      <w:proofErr w:type="spellStart"/>
      <w:r w:rsidRPr="00422868">
        <w:rPr>
          <w:rFonts w:ascii="Times New Roman" w:hAnsi="Times New Roman" w:cs="Times New Roman"/>
          <w:color w:val="EE0000"/>
          <w:sz w:val="24"/>
          <w14:ligatures w14:val="none"/>
        </w:rPr>
        <w:t>C</w:t>
      </w:r>
      <w:r w:rsidRPr="00422868">
        <w:rPr>
          <w:rFonts w:ascii="Times New Roman" w:hAnsi="Times New Roman" w:cs="Times New Roman"/>
          <w:color w:val="EE0000"/>
          <w:sz w:val="24"/>
          <w:vertAlign w:val="subscript"/>
          <w14:ligatures w14:val="none"/>
        </w:rPr>
        <w:t>Loss</w:t>
      </w:r>
      <w:proofErr w:type="spellEnd"/>
      <w:r w:rsidRPr="00422868">
        <w:rPr>
          <w:rFonts w:ascii="Times New Roman" w:hAnsi="Times New Roman" w:cs="Times New Roman"/>
          <w:color w:val="EE0000"/>
          <w:sz w:val="24"/>
          <w14:ligatures w14:val="none"/>
        </w:rPr>
        <w:t>, Eq. (6)).</w:t>
      </w:r>
    </w:p>
    <w:p w14:paraId="1808893C" w14:textId="77777777" w:rsidR="00820BFE" w:rsidRPr="00422868" w:rsidRDefault="00820BFE" w:rsidP="00820BFE">
      <w:pPr>
        <w:spacing w:after="0" w:line="480" w:lineRule="auto"/>
        <w:ind w:firstLineChars="200" w:firstLine="480"/>
        <w:jc w:val="right"/>
        <w:rPr>
          <w:rFonts w:ascii="Times New Roman" w:hAnsi="Times New Roman" w:cs="Times New Roman"/>
          <w:color w:val="EE0000"/>
          <w:sz w:val="24"/>
          <w14:ligatures w14:val="none"/>
        </w:rPr>
      </w:pPr>
      <m:oMath>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H,R</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H,S</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H,L(total)</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H,L→A</m:t>
            </m:r>
          </m:sub>
        </m:sSub>
        <m:r>
          <m:rPr>
            <m:nor/>
          </m:rPr>
          <w:rPr>
            <w:rFonts w:ascii="Times New Roman" w:hAnsi="Times New Roman" w:cs="Times New Roman"/>
            <w:color w:val="EE0000"/>
            <w:sz w:val="24"/>
            <w14:ligatures w14:val="none"/>
          </w:rPr>
          <m:t>)</m:t>
        </m:r>
      </m:oMath>
      <w:r w:rsidRPr="00422868">
        <w:rPr>
          <w:rFonts w:ascii="Times New Roman" w:hAnsi="Times New Roman" w:cs="Times New Roman"/>
          <w:color w:val="EE0000"/>
          <w:sz w:val="24"/>
          <w14:ligatures w14:val="none"/>
        </w:rPr>
        <w:t xml:space="preserve">                  (5)</w:t>
      </w:r>
    </w:p>
    <w:p w14:paraId="1A85723B" w14:textId="77777777" w:rsidR="00820BFE" w:rsidRPr="00422868" w:rsidRDefault="00820BFE" w:rsidP="00820BFE">
      <w:pPr>
        <w:spacing w:after="0" w:line="480" w:lineRule="auto"/>
        <w:ind w:firstLineChars="200" w:firstLine="480"/>
        <w:jc w:val="right"/>
        <w:rPr>
          <w:rFonts w:ascii="Times New Roman" w:hAnsi="Times New Roman" w:cs="Times New Roman"/>
          <w:color w:val="EE0000"/>
          <w:sz w:val="24"/>
          <w14:ligatures w14:val="none"/>
        </w:rPr>
      </w:pPr>
      <m:oMath>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Loss</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total</m:t>
                </m:r>
              </m:sub>
            </m:sSub>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H,R</m:t>
            </m:r>
          </m:sub>
        </m:sSub>
        <m:r>
          <m:rPr>
            <m:nor/>
          </m:rPr>
          <w:rPr>
            <w:rFonts w:ascii="Times New Roman" w:hAnsi="Times New Roman" w:cs="Times New Roman"/>
            <w:color w:val="EE0000"/>
            <w:sz w:val="24"/>
            <w14:ligatures w14:val="none"/>
          </w:rPr>
          <m:t>-</m:t>
        </m:r>
        <m:sSub>
          <m:sSubPr>
            <m:ctrlPr>
              <w:rPr>
                <w:rFonts w:ascii="Cambria Math" w:hAnsi="Cambria Math" w:cs="Times New Roman"/>
                <w:i/>
                <w:color w:val="EE0000"/>
                <w:sz w:val="24"/>
                <w14:ligatures w14:val="none"/>
              </w:rPr>
            </m:ctrlPr>
          </m:sSubPr>
          <m:e>
            <m:r>
              <m:rPr>
                <m:nor/>
              </m:rPr>
              <w:rPr>
                <w:rFonts w:ascii="Times New Roman" w:hAnsi="Times New Roman" w:cs="Times New Roman"/>
                <w:color w:val="EE0000"/>
                <w:sz w:val="24"/>
                <w14:ligatures w14:val="none"/>
              </w:rPr>
              <m:t>C</m:t>
            </m:r>
          </m:e>
          <m:sub>
            <m:r>
              <m:rPr>
                <m:nor/>
              </m:rPr>
              <w:rPr>
                <w:rFonts w:ascii="Times New Roman" w:hAnsi="Times New Roman" w:cs="Times New Roman"/>
                <w:color w:val="EE0000"/>
                <w:sz w:val="24"/>
                <w14:ligatures w14:val="none"/>
              </w:rPr>
              <m:t>H,L→A</m:t>
            </m:r>
          </m:sub>
        </m:sSub>
      </m:oMath>
      <w:r w:rsidRPr="00422868">
        <w:rPr>
          <w:rFonts w:ascii="Times New Roman" w:hAnsi="Times New Roman" w:cs="Times New Roman"/>
          <w:color w:val="EE0000"/>
          <w:sz w:val="24"/>
          <w14:ligatures w14:val="none"/>
        </w:rPr>
        <w:t xml:space="preserve">                  (6)</w:t>
      </w:r>
    </w:p>
    <w:p w14:paraId="0C7BF417"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 xml:space="preserve">Where </w:t>
      </w:r>
      <w:proofErr w:type="gramStart"/>
      <w:r w:rsidRPr="00422868">
        <w:rPr>
          <w:rFonts w:ascii="Times New Roman" w:hAnsi="Times New Roman" w:cs="Times New Roman"/>
          <w:color w:val="EE0000"/>
          <w:sz w:val="24"/>
          <w14:ligatures w14:val="none"/>
        </w:rPr>
        <w:t>C</w:t>
      </w:r>
      <w:r w:rsidRPr="00422868">
        <w:rPr>
          <w:rFonts w:ascii="Times New Roman" w:hAnsi="Times New Roman" w:cs="Times New Roman"/>
          <w:color w:val="EE0000"/>
          <w:sz w:val="24"/>
          <w:vertAlign w:val="subscript"/>
          <w14:ligatures w14:val="none"/>
        </w:rPr>
        <w:t>H,S</w:t>
      </w:r>
      <w:proofErr w:type="gramEnd"/>
      <w:r w:rsidRPr="00422868">
        <w:rPr>
          <w:rFonts w:ascii="Times New Roman" w:hAnsi="Times New Roman" w:cs="Times New Roman"/>
          <w:color w:val="EE0000"/>
          <w:sz w:val="24"/>
          <w14:ligatures w14:val="none"/>
        </w:rPr>
        <w:t xml:space="preserve"> is the carbon of the solid fraction of the discharge from the hydrolysis stage; </w:t>
      </w:r>
      <w:proofErr w:type="gramStart"/>
      <w:r w:rsidRPr="00422868">
        <w:rPr>
          <w:rFonts w:ascii="Times New Roman" w:hAnsi="Times New Roman" w:cs="Times New Roman"/>
          <w:color w:val="EE0000"/>
          <w:sz w:val="24"/>
          <w14:ligatures w14:val="none"/>
        </w:rPr>
        <w:t>C</w:t>
      </w:r>
      <w:r w:rsidRPr="00422868">
        <w:rPr>
          <w:rFonts w:ascii="Times New Roman" w:hAnsi="Times New Roman" w:cs="Times New Roman"/>
          <w:color w:val="EE0000"/>
          <w:sz w:val="24"/>
          <w:vertAlign w:val="subscript"/>
          <w14:ligatures w14:val="none"/>
        </w:rPr>
        <w:t>H,L</w:t>
      </w:r>
      <w:proofErr w:type="gramEnd"/>
      <w:r w:rsidRPr="00422868">
        <w:rPr>
          <w:rFonts w:ascii="Times New Roman" w:hAnsi="Times New Roman" w:cs="Times New Roman"/>
          <w:color w:val="EE0000"/>
          <w:sz w:val="24"/>
          <w:vertAlign w:val="subscript"/>
          <w14:ligatures w14:val="none"/>
        </w:rPr>
        <w:t>(total)</w:t>
      </w:r>
      <w:r w:rsidRPr="00422868">
        <w:rPr>
          <w:rFonts w:ascii="Times New Roman" w:hAnsi="Times New Roman" w:cs="Times New Roman"/>
          <w:color w:val="EE0000"/>
          <w:sz w:val="24"/>
          <w14:ligatures w14:val="none"/>
        </w:rPr>
        <w:t xml:space="preserve"> is the total carbon of the liquid fraction of the discharge from the hydrolysis stage; </w:t>
      </w:r>
      <w:proofErr w:type="gramStart"/>
      <w:r w:rsidRPr="00422868">
        <w:rPr>
          <w:rFonts w:ascii="Times New Roman" w:hAnsi="Times New Roman" w:cs="Times New Roman"/>
          <w:color w:val="EE0000"/>
          <w:sz w:val="24"/>
          <w14:ligatures w14:val="none"/>
        </w:rPr>
        <w:t>C</w:t>
      </w:r>
      <w:r w:rsidRPr="00422868">
        <w:rPr>
          <w:rFonts w:ascii="Times New Roman" w:hAnsi="Times New Roman" w:cs="Times New Roman"/>
          <w:color w:val="EE0000"/>
          <w:sz w:val="24"/>
          <w:vertAlign w:val="subscript"/>
          <w14:ligatures w14:val="none"/>
        </w:rPr>
        <w:t>H,L</w:t>
      </w:r>
      <w:proofErr w:type="gramEnd"/>
      <w:r w:rsidRPr="00422868">
        <w:rPr>
          <w:rFonts w:ascii="Times New Roman" w:hAnsi="Times New Roman" w:cs="Times New Roman"/>
          <w:color w:val="EE0000"/>
          <w:sz w:val="24"/>
          <w:vertAlign w:val="subscript"/>
          <w14:ligatures w14:val="none"/>
        </w:rPr>
        <w:t>→A</w:t>
      </w:r>
      <w:r w:rsidRPr="00422868">
        <w:rPr>
          <w:rFonts w:ascii="Times New Roman" w:hAnsi="Times New Roman" w:cs="Times New Roman"/>
          <w:color w:val="EE0000"/>
          <w:sz w:val="24"/>
          <w14:ligatures w14:val="none"/>
        </w:rPr>
        <w:t xml:space="preserve"> is the liquid carbon that actually enters the acidification tank, calculated according to Eq. (2)-(3).</w:t>
      </w:r>
    </w:p>
    <w:p w14:paraId="0A4FC1BE" w14:textId="77777777" w:rsidR="00820BFE" w:rsidRPr="00422868" w:rsidRDefault="00820BFE" w:rsidP="00820BFE">
      <w:pPr>
        <w:spacing w:after="0" w:line="480" w:lineRule="auto"/>
        <w:ind w:firstLineChars="200" w:firstLine="480"/>
        <w:jc w:val="both"/>
        <w:rPr>
          <w:rFonts w:ascii="Times New Roman" w:hAnsi="Times New Roman" w:cs="Times New Roman"/>
          <w:color w:val="EE0000"/>
          <w:sz w:val="24"/>
          <w14:ligatures w14:val="none"/>
        </w:rPr>
      </w:pPr>
      <w:r w:rsidRPr="00422868">
        <w:rPr>
          <w:rFonts w:ascii="Times New Roman" w:hAnsi="Times New Roman" w:cs="Times New Roman"/>
          <w:color w:val="EE0000"/>
          <w:sz w:val="24"/>
          <w14:ligatures w14:val="none"/>
        </w:rPr>
        <w:t>The acidification stage uses the hydrolyzed liquid as the feedstock, and the products include acidification solution and acidification gas (CH</w:t>
      </w:r>
      <w:r w:rsidRPr="00422868">
        <w:rPr>
          <w:rFonts w:ascii="Times New Roman" w:hAnsi="Times New Roman" w:cs="Times New Roman"/>
          <w:color w:val="EE0000"/>
          <w:sz w:val="24"/>
          <w:vertAlign w:val="subscript"/>
          <w14:ligatures w14:val="none"/>
        </w:rPr>
        <w:t>4</w:t>
      </w:r>
      <w:r w:rsidRPr="00422868">
        <w:rPr>
          <w:rFonts w:ascii="Times New Roman" w:hAnsi="Times New Roman" w:cs="Times New Roman"/>
          <w:color w:val="EE0000"/>
          <w:sz w:val="24"/>
          <w14:ligatures w14:val="none"/>
        </w:rPr>
        <w:t xml:space="preserve"> and CO</w:t>
      </w:r>
      <w:r w:rsidRPr="00422868">
        <w:rPr>
          <w:rFonts w:ascii="Times New Roman" w:hAnsi="Times New Roman" w:cs="Times New Roman"/>
          <w:color w:val="EE0000"/>
          <w:sz w:val="24"/>
          <w:vertAlign w:val="subscript"/>
          <w14:ligatures w14:val="none"/>
        </w:rPr>
        <w:t>2</w:t>
      </w:r>
      <w:r w:rsidRPr="00422868">
        <w:rPr>
          <w:rFonts w:ascii="Times New Roman" w:hAnsi="Times New Roman" w:cs="Times New Roman"/>
          <w:color w:val="EE0000"/>
          <w:sz w:val="24"/>
          <w14:ligatures w14:val="none"/>
        </w:rPr>
        <w:t>). The methanogenesis stage uses the acidified liquid as the feedstock, and the carbon is ultimately distributed in BS, CH</w:t>
      </w:r>
      <w:r w:rsidRPr="00422868">
        <w:rPr>
          <w:rFonts w:ascii="Times New Roman" w:hAnsi="Times New Roman" w:cs="Times New Roman"/>
          <w:color w:val="EE0000"/>
          <w:sz w:val="24"/>
          <w:vertAlign w:val="subscript"/>
          <w14:ligatures w14:val="none"/>
        </w:rPr>
        <w:t>4</w:t>
      </w:r>
      <w:r w:rsidRPr="00422868">
        <w:rPr>
          <w:rFonts w:ascii="Times New Roman" w:hAnsi="Times New Roman" w:cs="Times New Roman"/>
          <w:color w:val="EE0000"/>
          <w:sz w:val="24"/>
          <w14:ligatures w14:val="none"/>
        </w:rPr>
        <w:t xml:space="preserve"> and CO</w:t>
      </w:r>
      <w:r w:rsidRPr="00422868">
        <w:rPr>
          <w:rFonts w:ascii="Times New Roman" w:hAnsi="Times New Roman" w:cs="Times New Roman"/>
          <w:color w:val="EE0000"/>
          <w:sz w:val="24"/>
          <w:vertAlign w:val="subscript"/>
          <w14:ligatures w14:val="none"/>
        </w:rPr>
        <w:t>2</w:t>
      </w:r>
      <w:r w:rsidRPr="00422868">
        <w:rPr>
          <w:rFonts w:ascii="Times New Roman" w:hAnsi="Times New Roman" w:cs="Times New Roman"/>
          <w:color w:val="EE0000"/>
          <w:sz w:val="24"/>
          <w14:ligatures w14:val="none"/>
        </w:rPr>
        <w:t>. Calculations can be made according to Eq. (3) - (4). The pure inoculum treatment group serves as a blank control to subtract the background gas production of the inoculum.</w:t>
      </w:r>
    </w:p>
    <w:p w14:paraId="31B89C47" w14:textId="77777777" w:rsidR="00483FAC" w:rsidRPr="00422868" w:rsidRDefault="00483FAC">
      <w:pPr>
        <w:rPr>
          <w:rFonts w:ascii="Times New Roman" w:hAnsi="Times New Roman" w:cs="Times New Roman"/>
          <w:color w:val="EE0000"/>
        </w:rPr>
      </w:pPr>
    </w:p>
    <w:sectPr w:rsidR="00483FAC" w:rsidRPr="00422868" w:rsidSect="00392D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652C1" w14:textId="77777777" w:rsidR="000B15D6" w:rsidRDefault="000B15D6" w:rsidP="00392DB6">
      <w:pPr>
        <w:spacing w:after="0" w:line="240" w:lineRule="auto"/>
        <w:rPr>
          <w:rFonts w:hint="eastAsia"/>
        </w:rPr>
      </w:pPr>
      <w:r>
        <w:separator/>
      </w:r>
    </w:p>
  </w:endnote>
  <w:endnote w:type="continuationSeparator" w:id="0">
    <w:p w14:paraId="26E0026F" w14:textId="77777777" w:rsidR="000B15D6" w:rsidRDefault="000B15D6" w:rsidP="00392D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CD9AB" w14:textId="77777777" w:rsidR="000B15D6" w:rsidRDefault="000B15D6" w:rsidP="00392DB6">
      <w:pPr>
        <w:spacing w:after="0" w:line="240" w:lineRule="auto"/>
        <w:rPr>
          <w:rFonts w:hint="eastAsia"/>
        </w:rPr>
      </w:pPr>
      <w:r>
        <w:separator/>
      </w:r>
    </w:p>
  </w:footnote>
  <w:footnote w:type="continuationSeparator" w:id="0">
    <w:p w14:paraId="51F9475E" w14:textId="77777777" w:rsidR="000B15D6" w:rsidRDefault="000B15D6" w:rsidP="00392DB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FAC"/>
    <w:rsid w:val="000B15D6"/>
    <w:rsid w:val="000F1FF4"/>
    <w:rsid w:val="00111196"/>
    <w:rsid w:val="00392DB6"/>
    <w:rsid w:val="00422868"/>
    <w:rsid w:val="00483FAC"/>
    <w:rsid w:val="00820BFE"/>
    <w:rsid w:val="00C949CB"/>
    <w:rsid w:val="00CC1B1D"/>
    <w:rsid w:val="00D63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C3845C"/>
  <w15:chartTrackingRefBased/>
  <w15:docId w15:val="{AEC31576-170E-4318-9187-2525F4B9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DB6"/>
    <w:pPr>
      <w:widowControl w:val="0"/>
    </w:pPr>
  </w:style>
  <w:style w:type="paragraph" w:styleId="1">
    <w:name w:val="heading 1"/>
    <w:basedOn w:val="a"/>
    <w:next w:val="a"/>
    <w:link w:val="10"/>
    <w:uiPriority w:val="9"/>
    <w:qFormat/>
    <w:rsid w:val="00483FA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83FA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83FA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83FA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83FA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83FA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83F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3F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3F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3FA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83FA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83FA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83FAC"/>
    <w:rPr>
      <w:rFonts w:cstheme="majorBidi"/>
      <w:color w:val="2F5496" w:themeColor="accent1" w:themeShade="BF"/>
      <w:sz w:val="28"/>
      <w:szCs w:val="28"/>
    </w:rPr>
  </w:style>
  <w:style w:type="character" w:customStyle="1" w:styleId="50">
    <w:name w:val="标题 5 字符"/>
    <w:basedOn w:val="a0"/>
    <w:link w:val="5"/>
    <w:uiPriority w:val="9"/>
    <w:semiHidden/>
    <w:rsid w:val="00483FAC"/>
    <w:rPr>
      <w:rFonts w:cstheme="majorBidi"/>
      <w:color w:val="2F5496" w:themeColor="accent1" w:themeShade="BF"/>
      <w:sz w:val="24"/>
    </w:rPr>
  </w:style>
  <w:style w:type="character" w:customStyle="1" w:styleId="60">
    <w:name w:val="标题 6 字符"/>
    <w:basedOn w:val="a0"/>
    <w:link w:val="6"/>
    <w:uiPriority w:val="9"/>
    <w:semiHidden/>
    <w:rsid w:val="00483FAC"/>
    <w:rPr>
      <w:rFonts w:cstheme="majorBidi"/>
      <w:b/>
      <w:bCs/>
      <w:color w:val="2F5496" w:themeColor="accent1" w:themeShade="BF"/>
    </w:rPr>
  </w:style>
  <w:style w:type="character" w:customStyle="1" w:styleId="70">
    <w:name w:val="标题 7 字符"/>
    <w:basedOn w:val="a0"/>
    <w:link w:val="7"/>
    <w:uiPriority w:val="9"/>
    <w:semiHidden/>
    <w:rsid w:val="00483FAC"/>
    <w:rPr>
      <w:rFonts w:cstheme="majorBidi"/>
      <w:b/>
      <w:bCs/>
      <w:color w:val="595959" w:themeColor="text1" w:themeTint="A6"/>
    </w:rPr>
  </w:style>
  <w:style w:type="character" w:customStyle="1" w:styleId="80">
    <w:name w:val="标题 8 字符"/>
    <w:basedOn w:val="a0"/>
    <w:link w:val="8"/>
    <w:uiPriority w:val="9"/>
    <w:semiHidden/>
    <w:rsid w:val="00483FAC"/>
    <w:rPr>
      <w:rFonts w:cstheme="majorBidi"/>
      <w:color w:val="595959" w:themeColor="text1" w:themeTint="A6"/>
    </w:rPr>
  </w:style>
  <w:style w:type="character" w:customStyle="1" w:styleId="90">
    <w:name w:val="标题 9 字符"/>
    <w:basedOn w:val="a0"/>
    <w:link w:val="9"/>
    <w:uiPriority w:val="9"/>
    <w:semiHidden/>
    <w:rsid w:val="00483FAC"/>
    <w:rPr>
      <w:rFonts w:eastAsiaTheme="majorEastAsia" w:cstheme="majorBidi"/>
      <w:color w:val="595959" w:themeColor="text1" w:themeTint="A6"/>
    </w:rPr>
  </w:style>
  <w:style w:type="paragraph" w:styleId="a3">
    <w:name w:val="Title"/>
    <w:basedOn w:val="a"/>
    <w:next w:val="a"/>
    <w:link w:val="a4"/>
    <w:uiPriority w:val="10"/>
    <w:qFormat/>
    <w:rsid w:val="00483F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3F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3F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3F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3FAC"/>
    <w:pPr>
      <w:spacing w:before="160"/>
      <w:jc w:val="center"/>
    </w:pPr>
    <w:rPr>
      <w:i/>
      <w:iCs/>
      <w:color w:val="404040" w:themeColor="text1" w:themeTint="BF"/>
    </w:rPr>
  </w:style>
  <w:style w:type="character" w:customStyle="1" w:styleId="a8">
    <w:name w:val="引用 字符"/>
    <w:basedOn w:val="a0"/>
    <w:link w:val="a7"/>
    <w:uiPriority w:val="29"/>
    <w:rsid w:val="00483FAC"/>
    <w:rPr>
      <w:i/>
      <w:iCs/>
      <w:color w:val="404040" w:themeColor="text1" w:themeTint="BF"/>
    </w:rPr>
  </w:style>
  <w:style w:type="paragraph" w:styleId="a9">
    <w:name w:val="List Paragraph"/>
    <w:basedOn w:val="a"/>
    <w:uiPriority w:val="34"/>
    <w:qFormat/>
    <w:rsid w:val="00483FAC"/>
    <w:pPr>
      <w:ind w:left="720"/>
      <w:contextualSpacing/>
    </w:pPr>
  </w:style>
  <w:style w:type="character" w:styleId="aa">
    <w:name w:val="Intense Emphasis"/>
    <w:basedOn w:val="a0"/>
    <w:uiPriority w:val="21"/>
    <w:qFormat/>
    <w:rsid w:val="00483FAC"/>
    <w:rPr>
      <w:i/>
      <w:iCs/>
      <w:color w:val="2F5496" w:themeColor="accent1" w:themeShade="BF"/>
    </w:rPr>
  </w:style>
  <w:style w:type="paragraph" w:styleId="ab">
    <w:name w:val="Intense Quote"/>
    <w:basedOn w:val="a"/>
    <w:next w:val="a"/>
    <w:link w:val="ac"/>
    <w:uiPriority w:val="30"/>
    <w:qFormat/>
    <w:rsid w:val="00483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83FAC"/>
    <w:rPr>
      <w:i/>
      <w:iCs/>
      <w:color w:val="2F5496" w:themeColor="accent1" w:themeShade="BF"/>
    </w:rPr>
  </w:style>
  <w:style w:type="character" w:styleId="ad">
    <w:name w:val="Intense Reference"/>
    <w:basedOn w:val="a0"/>
    <w:uiPriority w:val="32"/>
    <w:qFormat/>
    <w:rsid w:val="00483FAC"/>
    <w:rPr>
      <w:b/>
      <w:bCs/>
      <w:smallCaps/>
      <w:color w:val="2F5496" w:themeColor="accent1" w:themeShade="BF"/>
      <w:spacing w:val="5"/>
    </w:rPr>
  </w:style>
  <w:style w:type="paragraph" w:styleId="ae">
    <w:name w:val="header"/>
    <w:basedOn w:val="a"/>
    <w:link w:val="af"/>
    <w:uiPriority w:val="99"/>
    <w:unhideWhenUsed/>
    <w:rsid w:val="00392DB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92DB6"/>
    <w:rPr>
      <w:sz w:val="18"/>
      <w:szCs w:val="18"/>
    </w:rPr>
  </w:style>
  <w:style w:type="paragraph" w:styleId="af0">
    <w:name w:val="footer"/>
    <w:basedOn w:val="a"/>
    <w:link w:val="af1"/>
    <w:uiPriority w:val="99"/>
    <w:unhideWhenUsed/>
    <w:rsid w:val="00392DB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92DB6"/>
    <w:rPr>
      <w:sz w:val="18"/>
      <w:szCs w:val="18"/>
    </w:rPr>
  </w:style>
  <w:style w:type="paragraph" w:styleId="af2">
    <w:name w:val="footnote text"/>
    <w:basedOn w:val="a"/>
    <w:link w:val="af3"/>
    <w:uiPriority w:val="99"/>
    <w:semiHidden/>
    <w:unhideWhenUsed/>
    <w:qFormat/>
    <w:rsid w:val="00392DB6"/>
    <w:pPr>
      <w:snapToGrid w:val="0"/>
      <w:spacing w:after="0" w:line="240" w:lineRule="auto"/>
    </w:pPr>
    <w:rPr>
      <w:rFonts w:ascii="Times New Roman" w:hAnsi="Times New Roman"/>
      <w:sz w:val="18"/>
      <w:szCs w:val="18"/>
      <w14:ligatures w14:val="none"/>
    </w:rPr>
  </w:style>
  <w:style w:type="character" w:customStyle="1" w:styleId="af3">
    <w:name w:val="脚注文本 字符"/>
    <w:basedOn w:val="a0"/>
    <w:link w:val="af2"/>
    <w:uiPriority w:val="99"/>
    <w:semiHidden/>
    <w:qFormat/>
    <w:rsid w:val="00392DB6"/>
    <w:rPr>
      <w:rFonts w:ascii="Times New Roman" w:hAnsi="Times New Roman"/>
      <w:sz w:val="18"/>
      <w:szCs w:val="18"/>
      <w14:ligatures w14:val="none"/>
    </w:rPr>
  </w:style>
  <w:style w:type="character" w:styleId="af4">
    <w:name w:val="Hyperlink"/>
    <w:basedOn w:val="a0"/>
    <w:uiPriority w:val="99"/>
    <w:unhideWhenUsed/>
    <w:qFormat/>
    <w:rsid w:val="00392DB6"/>
    <w:rPr>
      <w:color w:val="0563C1" w:themeColor="hyperlink"/>
      <w:u w:val="single"/>
    </w:rPr>
  </w:style>
  <w:style w:type="character" w:styleId="af5">
    <w:name w:val="footnote reference"/>
    <w:basedOn w:val="a0"/>
    <w:uiPriority w:val="99"/>
    <w:unhideWhenUsed/>
    <w:qFormat/>
    <w:rsid w:val="00392D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1870</Words>
  <Characters>2563</Characters>
  <Application>Microsoft Office Word</Application>
  <DocSecurity>0</DocSecurity>
  <Lines>122</Lines>
  <Paragraphs>126</Paragraphs>
  <ScaleCrop>false</ScaleCrop>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kaitao Peng</dc:creator>
  <cp:keywords/>
  <dc:description/>
  <cp:lastModifiedBy>kaitao Peng</cp:lastModifiedBy>
  <cp:revision>3</cp:revision>
  <dcterms:created xsi:type="dcterms:W3CDTF">2026-06-09T12:47:00Z</dcterms:created>
  <dcterms:modified xsi:type="dcterms:W3CDTF">2026-06-12T06:54:00Z</dcterms:modified>
</cp:coreProperties>
</file>