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tiff" ContentType="image/tif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C216AA">
      <w:pPr>
        <w:spacing w:line="480" w:lineRule="auto"/>
        <w:jc w:val="center"/>
        <w:rPr>
          <w:rFonts w:ascii="Times New Roman" w:hAnsi="Times New Roman" w:eastAsia="宋体" w:cs="Times New Roman"/>
          <w:b/>
          <w:sz w:val="28"/>
          <w:szCs w:val="24"/>
        </w:rPr>
      </w:pPr>
      <w:bookmarkStart w:id="21" w:name="_GoBack"/>
      <w:bookmarkEnd w:id="21"/>
      <w:r>
        <w:rPr>
          <w:rFonts w:ascii="Times New Roman" w:hAnsi="Times New Roman" w:eastAsia="宋体" w:cs="Times New Roman"/>
          <w:b/>
          <w:sz w:val="28"/>
          <w:szCs w:val="24"/>
        </w:rPr>
        <w:t>Supporting Information</w:t>
      </w:r>
    </w:p>
    <w:p w14:paraId="6FEC4E26">
      <w:pPr>
        <w:spacing w:line="480" w:lineRule="auto"/>
        <w:contextualSpacing/>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Micro-aeration unlocks endogenous nitrogen removal in anaerobic digesters via metabolically versatile fermentative bacteria</w:t>
      </w:r>
    </w:p>
    <w:p w14:paraId="577EF234">
      <w:pPr>
        <w:spacing w:line="480" w:lineRule="auto"/>
        <w:contextualSpacing/>
        <w:jc w:val="center"/>
        <w:rPr>
          <w:rFonts w:ascii="Times New Roman" w:hAnsi="Times New Roman" w:eastAsia="宋体" w:cs="Times New Roman"/>
          <w:sz w:val="24"/>
          <w:szCs w:val="24"/>
        </w:rPr>
      </w:pPr>
    </w:p>
    <w:p w14:paraId="5724ECE2">
      <w:pPr>
        <w:spacing w:line="480" w:lineRule="auto"/>
        <w:contextualSpacing/>
        <w:jc w:val="center"/>
        <w:rPr>
          <w:rFonts w:ascii="Times New Roman" w:hAnsi="Times New Roman" w:eastAsia="宋体" w:cs="Times New Roman"/>
          <w:sz w:val="24"/>
          <w:szCs w:val="24"/>
        </w:rPr>
      </w:pPr>
      <w:r>
        <w:rPr>
          <w:rFonts w:ascii="Times New Roman" w:hAnsi="Times New Roman" w:eastAsia="宋体" w:cs="Times New Roman"/>
          <w:sz w:val="24"/>
          <w:szCs w:val="24"/>
        </w:rPr>
        <w:t>Linpei Han, Lei Li *, Wenjie Ye, Jiaqi Huang, Yongli Liu, Chaoran Duan, Bin Zhan, Shangbang Guo, Xuya Peng</w:t>
      </w:r>
    </w:p>
    <w:p w14:paraId="7AEEF242">
      <w:pPr>
        <w:spacing w:line="480" w:lineRule="auto"/>
        <w:contextualSpacing/>
        <w:jc w:val="center"/>
        <w:rPr>
          <w:rFonts w:ascii="Times New Roman" w:hAnsi="Times New Roman" w:eastAsia="宋体" w:cs="Times New Roman"/>
          <w:sz w:val="24"/>
          <w:szCs w:val="24"/>
        </w:rPr>
      </w:pPr>
    </w:p>
    <w:p w14:paraId="3BD0C8A2">
      <w:pPr>
        <w:spacing w:line="480" w:lineRule="auto"/>
        <w:contextualSpacing/>
        <w:jc w:val="center"/>
        <w:rPr>
          <w:rFonts w:ascii="Times New Roman" w:hAnsi="Times New Roman" w:eastAsia="宋体" w:cs="Times New Roman"/>
          <w:sz w:val="24"/>
          <w:szCs w:val="24"/>
        </w:rPr>
      </w:pPr>
      <w:r>
        <w:rPr>
          <w:rFonts w:ascii="Times New Roman" w:hAnsi="Times New Roman" w:eastAsia="宋体" w:cs="Times New Roman"/>
          <w:sz w:val="24"/>
          <w:szCs w:val="24"/>
        </w:rPr>
        <w:t>Key laboratory of the Three Gorges Reservoir Region's Eco-environments, Ministry of Education, Institute of Environment and Ecology, Chongqing University, Chongqing 400045, PR China</w:t>
      </w:r>
    </w:p>
    <w:p w14:paraId="53ADD607">
      <w:pPr>
        <w:spacing w:line="480" w:lineRule="auto"/>
        <w:contextualSpacing/>
        <w:rPr>
          <w:rFonts w:ascii="Times New Roman" w:hAnsi="Times New Roman" w:eastAsia="宋体" w:cs="Times New Roman"/>
          <w:sz w:val="24"/>
          <w:szCs w:val="24"/>
        </w:rPr>
      </w:pPr>
    </w:p>
    <w:p w14:paraId="4EF8A8F4">
      <w:pPr>
        <w:spacing w:line="480" w:lineRule="auto"/>
        <w:contextualSpacing/>
        <w:rPr>
          <w:rFonts w:ascii="Times New Roman" w:hAnsi="Times New Roman" w:eastAsia="宋体" w:cs="Times New Roman"/>
          <w:sz w:val="24"/>
          <w:szCs w:val="24"/>
        </w:rPr>
      </w:pPr>
    </w:p>
    <w:p w14:paraId="34766D63">
      <w:pPr>
        <w:widowControl/>
        <w:spacing w:line="480" w:lineRule="auto"/>
        <w:jc w:val="left"/>
        <w:rPr>
          <w:rFonts w:ascii="Times New Roman" w:hAnsi="Times New Roman" w:eastAsia="宋体" w:cs="Times New Roman"/>
          <w:sz w:val="24"/>
          <w:szCs w:val="28"/>
        </w:rPr>
      </w:pPr>
      <w:r>
        <w:rPr>
          <w:rFonts w:ascii="Times New Roman" w:hAnsi="Times New Roman" w:eastAsia="宋体" w:cs="Times New Roman"/>
          <w:sz w:val="24"/>
          <w:szCs w:val="28"/>
        </w:rPr>
        <w:t>This file includes:</w:t>
      </w:r>
    </w:p>
    <w:p w14:paraId="3E4F3326">
      <w:pPr>
        <w:widowControl/>
        <w:spacing w:line="480" w:lineRule="auto"/>
        <w:jc w:val="left"/>
        <w:rPr>
          <w:rFonts w:ascii="Times New Roman" w:hAnsi="Times New Roman" w:eastAsia="宋体" w:cs="Times New Roman"/>
          <w:sz w:val="24"/>
          <w:szCs w:val="28"/>
        </w:rPr>
      </w:pPr>
      <w:r>
        <w:rPr>
          <w:rFonts w:ascii="Times New Roman" w:hAnsi="Times New Roman" w:eastAsia="宋体" w:cs="Times New Roman"/>
          <w:sz w:val="24"/>
          <w:szCs w:val="28"/>
        </w:rPr>
        <w:t xml:space="preserve">Supplementary Methods 1 to 10 </w:t>
      </w:r>
    </w:p>
    <w:p w14:paraId="7F6A1DE1">
      <w:pPr>
        <w:widowControl/>
        <w:spacing w:line="480" w:lineRule="auto"/>
        <w:jc w:val="left"/>
        <w:rPr>
          <w:rFonts w:ascii="Times New Roman" w:hAnsi="Times New Roman" w:eastAsia="宋体" w:cs="Times New Roman"/>
          <w:sz w:val="24"/>
          <w:szCs w:val="28"/>
        </w:rPr>
      </w:pPr>
      <w:r>
        <w:rPr>
          <w:rFonts w:ascii="Times New Roman" w:hAnsi="Times New Roman" w:eastAsia="宋体" w:cs="Times New Roman"/>
          <w:sz w:val="24"/>
          <w:szCs w:val="28"/>
        </w:rPr>
        <w:t xml:space="preserve">Supplementary Tables 1 to 9 </w:t>
      </w:r>
    </w:p>
    <w:p w14:paraId="25094237">
      <w:pPr>
        <w:widowControl/>
        <w:spacing w:line="480" w:lineRule="auto"/>
        <w:jc w:val="left"/>
        <w:rPr>
          <w:rFonts w:ascii="Times New Roman" w:hAnsi="Times New Roman" w:eastAsia="宋体" w:cs="Times New Roman"/>
          <w:sz w:val="24"/>
          <w:szCs w:val="28"/>
        </w:rPr>
      </w:pPr>
      <w:r>
        <w:rPr>
          <w:rFonts w:ascii="Times New Roman" w:hAnsi="Times New Roman" w:eastAsia="宋体" w:cs="Times New Roman"/>
          <w:sz w:val="24"/>
          <w:szCs w:val="28"/>
        </w:rPr>
        <w:t xml:space="preserve">Supplementary Figures 1 to 10 </w:t>
      </w:r>
    </w:p>
    <w:p w14:paraId="6F3E0D06">
      <w:pPr>
        <w:widowControl/>
        <w:spacing w:line="480" w:lineRule="auto"/>
        <w:jc w:val="left"/>
        <w:rPr>
          <w:rFonts w:ascii="Times New Roman" w:hAnsi="Times New Roman" w:eastAsia="宋体" w:cs="Times New Roman"/>
          <w:sz w:val="24"/>
          <w:szCs w:val="28"/>
        </w:rPr>
      </w:pPr>
      <w:r>
        <w:rPr>
          <w:rFonts w:ascii="Times New Roman" w:hAnsi="Times New Roman" w:eastAsia="宋体" w:cs="Times New Roman"/>
          <w:sz w:val="24"/>
          <w:szCs w:val="28"/>
        </w:rPr>
        <w:t>Supplementary References</w:t>
      </w:r>
    </w:p>
    <w:p w14:paraId="3A867F3D">
      <w:pPr>
        <w:widowControl/>
        <w:jc w:val="left"/>
        <w:rPr>
          <w:rFonts w:ascii="Times New Roman" w:hAnsi="Times New Roman" w:eastAsia="宋体" w:cs="Times New Roman"/>
        </w:rPr>
      </w:pPr>
      <w:r>
        <w:rPr>
          <w:rFonts w:ascii="Times New Roman" w:hAnsi="Times New Roman" w:eastAsia="宋体" w:cs="Times New Roman"/>
        </w:rPr>
        <w:br w:type="page"/>
      </w:r>
    </w:p>
    <w:p w14:paraId="54CC1BE7">
      <w:pPr>
        <w:widowControl/>
        <w:spacing w:line="480" w:lineRule="auto"/>
        <w:jc w:val="left"/>
        <w:rPr>
          <w:rFonts w:ascii="Times New Roman" w:hAnsi="Times New Roman" w:eastAsia="宋体" w:cs="Times New Roman"/>
          <w:b/>
          <w:bCs/>
          <w:sz w:val="24"/>
          <w:szCs w:val="28"/>
        </w:rPr>
      </w:pPr>
      <w:bookmarkStart w:id="0" w:name="OLE_LINK3"/>
      <w:r>
        <w:rPr>
          <w:rFonts w:ascii="Times New Roman" w:hAnsi="Times New Roman" w:eastAsia="宋体" w:cs="Times New Roman"/>
          <w:b/>
          <w:bCs/>
          <w:sz w:val="24"/>
          <w:szCs w:val="28"/>
        </w:rPr>
        <w:t>1. Supplementary Methods</w:t>
      </w:r>
    </w:p>
    <w:p w14:paraId="35575778">
      <w:pPr>
        <w:widowControl/>
        <w:spacing w:line="480" w:lineRule="auto"/>
        <w:jc w:val="left"/>
        <w:rPr>
          <w:rFonts w:ascii="Times New Roman" w:hAnsi="Times New Roman" w:cs="Times New Roman"/>
          <w:b/>
          <w:bCs/>
          <w:sz w:val="24"/>
          <w:szCs w:val="28"/>
        </w:rPr>
      </w:pPr>
      <w:r>
        <w:rPr>
          <w:rFonts w:ascii="Times New Roman" w:hAnsi="Times New Roman" w:cs="Times New Roman"/>
          <w:b/>
          <w:bCs/>
          <w:sz w:val="24"/>
          <w:szCs w:val="28"/>
        </w:rPr>
        <w:t>1.1 Preparation of synthetic wastewater</w:t>
      </w:r>
    </w:p>
    <w:p w14:paraId="72C3554E">
      <w:pPr>
        <w:widowControl/>
        <w:spacing w:line="480" w:lineRule="auto"/>
        <w:ind w:firstLine="480" w:firstLineChars="200"/>
        <w:jc w:val="left"/>
        <w:rPr>
          <w:rFonts w:ascii="Times New Roman" w:hAnsi="Times New Roman" w:cs="Times New Roman"/>
          <w:sz w:val="24"/>
          <w:szCs w:val="28"/>
        </w:rPr>
      </w:pPr>
      <w:r>
        <w:rPr>
          <w:rFonts w:ascii="Times New Roman" w:hAnsi="Times New Roman" w:cs="Times New Roman"/>
          <w:sz w:val="24"/>
          <w:szCs w:val="28"/>
        </w:rPr>
        <w:t xml:space="preserve">The synthetic wastewater was composed of the following components: chemical oxygen demand (COD) of 2030.34 mg/L, supplied as glucose; </w:t>
      </w:r>
      <w:bookmarkStart w:id="1" w:name="OLE_LINK11"/>
      <w:r>
        <w:rPr>
          <w:rFonts w:ascii="Times New Roman" w:hAnsi="Times New Roman" w:cs="Times New Roman"/>
          <w:sz w:val="24"/>
          <w:szCs w:val="28"/>
          <w:vertAlign w:val="superscript"/>
        </w:rPr>
        <w:t>15</w:t>
      </w:r>
      <w:r>
        <w:rPr>
          <w:rFonts w:ascii="Times New Roman" w:hAnsi="Times New Roman" w:cs="Times New Roman"/>
          <w:sz w:val="24"/>
          <w:szCs w:val="28"/>
        </w:rPr>
        <w:t>N-labeled ammonium nitrogen (</w:t>
      </w:r>
      <w:r>
        <w:rPr>
          <w:rFonts w:ascii="Times New Roman" w:hAnsi="Times New Roman" w:cs="Times New Roman"/>
          <w:sz w:val="24"/>
          <w:szCs w:val="28"/>
          <w:vertAlign w:val="superscript"/>
        </w:rPr>
        <w:t>15</w:t>
      </w:r>
      <w:r>
        <w:rPr>
          <w:rFonts w:ascii="Times New Roman" w:hAnsi="Times New Roman" w:cs="Times New Roman"/>
          <w:sz w:val="24"/>
          <w:szCs w:val="28"/>
        </w:rPr>
        <w:t>NH</w:t>
      </w:r>
      <w:r>
        <w:rPr>
          <w:rFonts w:ascii="Times New Roman" w:hAnsi="Times New Roman" w:cs="Times New Roman"/>
          <w:sz w:val="24"/>
          <w:szCs w:val="28"/>
          <w:vertAlign w:val="subscript"/>
        </w:rPr>
        <w:t>4</w:t>
      </w:r>
      <w:r>
        <w:rPr>
          <w:rFonts w:ascii="Times New Roman" w:hAnsi="Times New Roman" w:cs="Times New Roman"/>
          <w:sz w:val="24"/>
          <w:szCs w:val="28"/>
          <w:vertAlign w:val="superscript"/>
        </w:rPr>
        <w:t>+</w:t>
      </w:r>
      <w:r>
        <w:rPr>
          <w:rFonts w:ascii="Times New Roman" w:hAnsi="Times New Roman" w:cs="Times New Roman"/>
          <w:sz w:val="24"/>
          <w:szCs w:val="28"/>
        </w:rPr>
        <w:t>-N) at a concentration of 267.75 mg/L,</w:t>
      </w:r>
      <w:bookmarkEnd w:id="1"/>
      <w:r>
        <w:rPr>
          <w:rFonts w:ascii="Times New Roman" w:hAnsi="Times New Roman" w:cs="Times New Roman"/>
          <w:sz w:val="24"/>
          <w:szCs w:val="28"/>
        </w:rPr>
        <w:t xml:space="preserve"> provided as </w:t>
      </w:r>
      <w:r>
        <w:rPr>
          <w:rFonts w:ascii="Times New Roman" w:hAnsi="Times New Roman" w:cs="Times New Roman"/>
          <w:sz w:val="24"/>
          <w:szCs w:val="28"/>
          <w:vertAlign w:val="superscript"/>
        </w:rPr>
        <w:t>15</w:t>
      </w:r>
      <w:r>
        <w:rPr>
          <w:rFonts w:ascii="Times New Roman" w:hAnsi="Times New Roman" w:cs="Times New Roman"/>
          <w:sz w:val="24"/>
          <w:szCs w:val="28"/>
        </w:rPr>
        <w:t>NH</w:t>
      </w:r>
      <w:r>
        <w:rPr>
          <w:rFonts w:ascii="Times New Roman" w:hAnsi="Times New Roman" w:cs="Times New Roman"/>
          <w:sz w:val="24"/>
          <w:szCs w:val="28"/>
          <w:vertAlign w:val="subscript"/>
        </w:rPr>
        <w:t>4</w:t>
      </w:r>
      <w:r>
        <w:rPr>
          <w:rFonts w:ascii="Times New Roman" w:hAnsi="Times New Roman" w:cs="Times New Roman"/>
          <w:sz w:val="24"/>
          <w:szCs w:val="28"/>
        </w:rPr>
        <w:t>Cl; calcium ions (Ca</w:t>
      </w:r>
      <w:r>
        <w:rPr>
          <w:rFonts w:ascii="Times New Roman" w:hAnsi="Times New Roman" w:cs="Times New Roman"/>
          <w:sz w:val="24"/>
          <w:szCs w:val="28"/>
          <w:vertAlign w:val="superscript"/>
        </w:rPr>
        <w:t>2+</w:t>
      </w:r>
      <w:r>
        <w:rPr>
          <w:rFonts w:ascii="Times New Roman" w:hAnsi="Times New Roman" w:cs="Times New Roman"/>
          <w:sz w:val="24"/>
          <w:szCs w:val="28"/>
        </w:rPr>
        <w:t>) at 10 mg/L, sourced from CaCl</w:t>
      </w:r>
      <w:r>
        <w:rPr>
          <w:rFonts w:ascii="Times New Roman" w:hAnsi="Times New Roman" w:cs="Times New Roman"/>
          <w:sz w:val="24"/>
          <w:szCs w:val="28"/>
          <w:vertAlign w:val="subscript"/>
        </w:rPr>
        <w:t>2</w:t>
      </w:r>
      <w:r>
        <w:rPr>
          <w:rFonts w:ascii="Times New Roman" w:hAnsi="Times New Roman" w:cs="Times New Roman"/>
          <w:sz w:val="24"/>
          <w:szCs w:val="28"/>
        </w:rPr>
        <w:t>; and magnesium ions (Mg</w:t>
      </w:r>
      <w:r>
        <w:rPr>
          <w:rFonts w:ascii="Times New Roman" w:hAnsi="Times New Roman" w:cs="Times New Roman"/>
          <w:sz w:val="24"/>
          <w:szCs w:val="28"/>
          <w:vertAlign w:val="superscript"/>
        </w:rPr>
        <w:t>2+</w:t>
      </w:r>
      <w:r>
        <w:rPr>
          <w:rFonts w:ascii="Times New Roman" w:hAnsi="Times New Roman" w:cs="Times New Roman"/>
          <w:sz w:val="24"/>
          <w:szCs w:val="28"/>
        </w:rPr>
        <w:t>) at 10 mg/L, derived from MgCl</w:t>
      </w:r>
      <w:r>
        <w:rPr>
          <w:rFonts w:ascii="Times New Roman" w:hAnsi="Times New Roman" w:cs="Times New Roman"/>
          <w:sz w:val="24"/>
          <w:szCs w:val="28"/>
          <w:vertAlign w:val="subscript"/>
        </w:rPr>
        <w:t>2</w:t>
      </w:r>
      <w:r>
        <w:rPr>
          <w:rFonts w:ascii="Times New Roman" w:hAnsi="Times New Roman" w:cs="Times New Roman"/>
          <w:sz w:val="24"/>
          <w:szCs w:val="28"/>
        </w:rPr>
        <w:t>. Additionally, a trace-element solution was incorporated at a concentration of 0.5 mL/L, containing the following per liter: 1.5 g of FeCl</w:t>
      </w:r>
      <w:r>
        <w:rPr>
          <w:rFonts w:ascii="Times New Roman" w:hAnsi="Times New Roman" w:cs="Times New Roman"/>
          <w:sz w:val="24"/>
          <w:szCs w:val="28"/>
          <w:vertAlign w:val="subscript"/>
        </w:rPr>
        <w:t>3</w:t>
      </w:r>
      <w:r>
        <w:rPr>
          <w:rFonts w:ascii="Times New Roman" w:hAnsi="Times New Roman" w:cs="Times New Roman"/>
          <w:sz w:val="24"/>
          <w:szCs w:val="28"/>
        </w:rPr>
        <w:t>·6H</w:t>
      </w:r>
      <w:r>
        <w:rPr>
          <w:rFonts w:ascii="Times New Roman" w:hAnsi="Times New Roman" w:cs="Times New Roman"/>
          <w:sz w:val="24"/>
          <w:szCs w:val="28"/>
          <w:vertAlign w:val="subscript"/>
        </w:rPr>
        <w:t>2</w:t>
      </w:r>
      <w:r>
        <w:rPr>
          <w:rFonts w:ascii="Times New Roman" w:hAnsi="Times New Roman" w:cs="Times New Roman"/>
          <w:sz w:val="24"/>
          <w:szCs w:val="28"/>
        </w:rPr>
        <w:t>O, 0.03 g of CuSO</w:t>
      </w:r>
      <w:r>
        <w:rPr>
          <w:rFonts w:ascii="Times New Roman" w:hAnsi="Times New Roman" w:cs="Times New Roman"/>
          <w:sz w:val="24"/>
          <w:szCs w:val="28"/>
          <w:vertAlign w:val="subscript"/>
        </w:rPr>
        <w:t>4</w:t>
      </w:r>
      <w:r>
        <w:rPr>
          <w:rFonts w:ascii="Times New Roman" w:hAnsi="Times New Roman" w:cs="Times New Roman"/>
          <w:sz w:val="24"/>
          <w:szCs w:val="28"/>
        </w:rPr>
        <w:t>·5H</w:t>
      </w:r>
      <w:r>
        <w:rPr>
          <w:rFonts w:ascii="Times New Roman" w:hAnsi="Times New Roman" w:cs="Times New Roman"/>
          <w:sz w:val="24"/>
          <w:szCs w:val="28"/>
          <w:vertAlign w:val="subscript"/>
        </w:rPr>
        <w:t>2</w:t>
      </w:r>
      <w:r>
        <w:rPr>
          <w:rFonts w:ascii="Times New Roman" w:hAnsi="Times New Roman" w:cs="Times New Roman"/>
          <w:sz w:val="24"/>
          <w:szCs w:val="28"/>
        </w:rPr>
        <w:t>O, 0.18 g of KI, 0.12 g of MnCl</w:t>
      </w:r>
      <w:r>
        <w:rPr>
          <w:rFonts w:ascii="Times New Roman" w:hAnsi="Times New Roman" w:cs="Times New Roman"/>
          <w:sz w:val="24"/>
          <w:szCs w:val="28"/>
          <w:vertAlign w:val="subscript"/>
        </w:rPr>
        <w:t>2</w:t>
      </w:r>
      <w:r>
        <w:rPr>
          <w:rFonts w:ascii="Times New Roman" w:hAnsi="Times New Roman" w:cs="Times New Roman"/>
          <w:sz w:val="24"/>
          <w:szCs w:val="28"/>
        </w:rPr>
        <w:t>·H</w:t>
      </w:r>
      <w:r>
        <w:rPr>
          <w:rFonts w:ascii="Times New Roman" w:hAnsi="Times New Roman" w:cs="Times New Roman"/>
          <w:sz w:val="24"/>
          <w:szCs w:val="28"/>
          <w:vertAlign w:val="subscript"/>
        </w:rPr>
        <w:t>2</w:t>
      </w:r>
      <w:r>
        <w:rPr>
          <w:rFonts w:ascii="Times New Roman" w:hAnsi="Times New Roman" w:cs="Times New Roman"/>
          <w:sz w:val="24"/>
          <w:szCs w:val="28"/>
        </w:rPr>
        <w:t>O, 0.06 g of Na</w:t>
      </w:r>
      <w:r>
        <w:rPr>
          <w:rFonts w:ascii="Times New Roman" w:hAnsi="Times New Roman" w:cs="Times New Roman"/>
          <w:sz w:val="24"/>
          <w:szCs w:val="28"/>
          <w:vertAlign w:val="subscript"/>
        </w:rPr>
        <w:t>2</w:t>
      </w:r>
      <w:r>
        <w:rPr>
          <w:rFonts w:ascii="Times New Roman" w:hAnsi="Times New Roman" w:cs="Times New Roman"/>
          <w:sz w:val="24"/>
          <w:szCs w:val="28"/>
        </w:rPr>
        <w:t>MoO</w:t>
      </w:r>
      <w:r>
        <w:rPr>
          <w:rFonts w:ascii="Times New Roman" w:hAnsi="Times New Roman" w:cs="Times New Roman"/>
          <w:sz w:val="24"/>
          <w:szCs w:val="28"/>
          <w:vertAlign w:val="subscript"/>
        </w:rPr>
        <w:t>4</w:t>
      </w:r>
      <w:r>
        <w:rPr>
          <w:rFonts w:ascii="Times New Roman" w:hAnsi="Times New Roman" w:cs="Times New Roman"/>
          <w:sz w:val="24"/>
          <w:szCs w:val="28"/>
        </w:rPr>
        <w:t>·2H</w:t>
      </w:r>
      <w:r>
        <w:rPr>
          <w:rFonts w:ascii="Times New Roman" w:hAnsi="Times New Roman" w:cs="Times New Roman"/>
          <w:sz w:val="24"/>
          <w:szCs w:val="28"/>
          <w:vertAlign w:val="subscript"/>
        </w:rPr>
        <w:t>2</w:t>
      </w:r>
      <w:r>
        <w:rPr>
          <w:rFonts w:ascii="Times New Roman" w:hAnsi="Times New Roman" w:cs="Times New Roman"/>
          <w:sz w:val="24"/>
          <w:szCs w:val="28"/>
        </w:rPr>
        <w:t>O, 0.12 g of ZnSO</w:t>
      </w:r>
      <w:r>
        <w:rPr>
          <w:rFonts w:ascii="Times New Roman" w:hAnsi="Times New Roman" w:cs="Times New Roman"/>
          <w:sz w:val="24"/>
          <w:szCs w:val="28"/>
          <w:vertAlign w:val="subscript"/>
        </w:rPr>
        <w:t>4</w:t>
      </w:r>
      <w:r>
        <w:rPr>
          <w:rFonts w:ascii="Times New Roman" w:hAnsi="Times New Roman" w:cs="Times New Roman"/>
          <w:sz w:val="24"/>
          <w:szCs w:val="28"/>
        </w:rPr>
        <w:t>·7H</w:t>
      </w:r>
      <w:r>
        <w:rPr>
          <w:rFonts w:ascii="Times New Roman" w:hAnsi="Times New Roman" w:cs="Times New Roman"/>
          <w:sz w:val="24"/>
          <w:szCs w:val="28"/>
          <w:vertAlign w:val="subscript"/>
        </w:rPr>
        <w:t>2</w:t>
      </w:r>
      <w:r>
        <w:rPr>
          <w:rFonts w:ascii="Times New Roman" w:hAnsi="Times New Roman" w:cs="Times New Roman"/>
          <w:sz w:val="24"/>
          <w:szCs w:val="28"/>
        </w:rPr>
        <w:t>O, 0.15 g of CoCl</w:t>
      </w:r>
      <w:r>
        <w:rPr>
          <w:rFonts w:ascii="Times New Roman" w:hAnsi="Times New Roman" w:cs="Times New Roman"/>
          <w:sz w:val="24"/>
          <w:szCs w:val="28"/>
          <w:vertAlign w:val="subscript"/>
        </w:rPr>
        <w:t>2</w:t>
      </w:r>
      <w:r>
        <w:rPr>
          <w:rFonts w:ascii="Times New Roman" w:hAnsi="Times New Roman" w:cs="Times New Roman"/>
          <w:sz w:val="24"/>
          <w:szCs w:val="28"/>
        </w:rPr>
        <w:t>·6H</w:t>
      </w:r>
      <w:r>
        <w:rPr>
          <w:rFonts w:ascii="Times New Roman" w:hAnsi="Times New Roman" w:cs="Times New Roman"/>
          <w:sz w:val="24"/>
          <w:szCs w:val="28"/>
          <w:vertAlign w:val="subscript"/>
        </w:rPr>
        <w:t>2</w:t>
      </w:r>
      <w:r>
        <w:rPr>
          <w:rFonts w:ascii="Times New Roman" w:hAnsi="Times New Roman" w:cs="Times New Roman"/>
          <w:sz w:val="24"/>
          <w:szCs w:val="28"/>
        </w:rPr>
        <w:t>O, and 10 g of EDTA. All chemicals used were of analytical grade and procured from reputable suppliers including Macklin, Sinopharm, or Aladdin (China). All solutions were prepared using Milli-Q water, which has a resistivity of 18.2 MΩ·cm.</w:t>
      </w:r>
    </w:p>
    <w:p w14:paraId="4AAC92D0">
      <w:pPr>
        <w:widowControl/>
        <w:spacing w:line="360" w:lineRule="auto"/>
        <w:jc w:val="left"/>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br w:type="page"/>
      </w:r>
    </w:p>
    <w:p w14:paraId="59890A9B">
      <w:pPr>
        <w:widowControl/>
        <w:spacing w:line="480" w:lineRule="auto"/>
        <w:jc w:val="left"/>
        <w:rPr>
          <w:rFonts w:ascii="Times New Roman" w:hAnsi="Times New Roman" w:cs="Times New Roman"/>
          <w:b/>
          <w:bCs/>
          <w:sz w:val="24"/>
          <w:szCs w:val="28"/>
        </w:rPr>
      </w:pPr>
      <w:r>
        <w:rPr>
          <w:rFonts w:ascii="Times New Roman" w:hAnsi="Times New Roman" w:cs="Times New Roman"/>
          <w:b/>
          <w:bCs/>
          <w:sz w:val="24"/>
          <w:szCs w:val="28"/>
        </w:rPr>
        <w:t>1.2 Stable-isotope analysis</w:t>
      </w:r>
    </w:p>
    <w:p w14:paraId="7968BC5D">
      <w:pPr>
        <w:spacing w:line="480"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Nitrogen isotopic compositions were determined in three phases: solid (sludge organic nitrogen), liquid (</w:t>
      </w:r>
      <w:r>
        <w:rPr>
          <w:rFonts w:ascii="Times New Roman" w:hAnsi="Times New Roman" w:eastAsia="宋体" w:cs="Times New Roman"/>
          <w:sz w:val="24"/>
          <w:szCs w:val="28"/>
          <w:vertAlign w:val="superscript"/>
        </w:rPr>
        <w:t>15</w:t>
      </w:r>
      <w:r>
        <w:rPr>
          <w:rFonts w:ascii="Times New Roman" w:hAnsi="Times New Roman" w:eastAsia="宋体" w:cs="Times New Roman"/>
          <w:sz w:val="24"/>
          <w:szCs w:val="28"/>
        </w:rPr>
        <w:t>NH</w:t>
      </w:r>
      <w:r>
        <w:rPr>
          <w:rFonts w:ascii="Times New Roman" w:hAnsi="Times New Roman" w:eastAsia="宋体" w:cs="Times New Roman"/>
          <w:sz w:val="24"/>
          <w:szCs w:val="28"/>
          <w:vertAlign w:val="subscript"/>
        </w:rPr>
        <w:t>4</w:t>
      </w:r>
      <w:r>
        <w:rPr>
          <w:rFonts w:ascii="Times New Roman" w:hAnsi="Times New Roman" w:eastAsia="宋体" w:cs="Times New Roman"/>
          <w:sz w:val="24"/>
          <w:szCs w:val="28"/>
          <w:vertAlign w:val="superscript"/>
        </w:rPr>
        <w:t>+</w:t>
      </w:r>
      <w:r>
        <w:rPr>
          <w:rFonts w:ascii="Times New Roman" w:hAnsi="Times New Roman" w:eastAsia="宋体" w:cs="Times New Roman"/>
          <w:sz w:val="24"/>
          <w:szCs w:val="24"/>
        </w:rPr>
        <w:t xml:space="preserve">, </w:t>
      </w:r>
      <w:r>
        <w:rPr>
          <w:rFonts w:ascii="Times New Roman" w:hAnsi="Times New Roman" w:eastAsia="宋体" w:cs="Times New Roman"/>
          <w:sz w:val="24"/>
          <w:szCs w:val="28"/>
          <w:vertAlign w:val="superscript"/>
        </w:rPr>
        <w:t>15</w:t>
      </w:r>
      <w:r>
        <w:rPr>
          <w:rFonts w:ascii="Times New Roman" w:hAnsi="Times New Roman" w:eastAsia="宋体" w:cs="Times New Roman"/>
          <w:sz w:val="24"/>
          <w:szCs w:val="28"/>
        </w:rPr>
        <w:t>NO</w:t>
      </w:r>
      <w:r>
        <w:rPr>
          <w:rFonts w:ascii="Times New Roman" w:hAnsi="Times New Roman" w:eastAsia="宋体" w:cs="Times New Roman"/>
          <w:sz w:val="24"/>
          <w:szCs w:val="28"/>
          <w:vertAlign w:val="subscript"/>
        </w:rPr>
        <w:t>2</w:t>
      </w:r>
      <w:r>
        <w:rPr>
          <w:rFonts w:ascii="Times New Roman" w:hAnsi="Times New Roman" w:eastAsia="宋体" w:cs="Times New Roman"/>
          <w:sz w:val="24"/>
          <w:szCs w:val="28"/>
          <w:vertAlign w:val="superscript"/>
        </w:rPr>
        <w:t>-</w:t>
      </w:r>
      <w:r>
        <w:rPr>
          <w:rFonts w:ascii="Times New Roman" w:hAnsi="Times New Roman" w:eastAsia="宋体" w:cs="Times New Roman"/>
          <w:sz w:val="24"/>
          <w:szCs w:val="24"/>
        </w:rPr>
        <w:t xml:space="preserve">, and </w:t>
      </w:r>
      <w:r>
        <w:rPr>
          <w:rFonts w:ascii="Times New Roman" w:hAnsi="Times New Roman" w:eastAsia="宋体" w:cs="Times New Roman"/>
          <w:sz w:val="24"/>
          <w:szCs w:val="28"/>
          <w:vertAlign w:val="superscript"/>
        </w:rPr>
        <w:t>15</w:t>
      </w:r>
      <w:r>
        <w:rPr>
          <w:rFonts w:ascii="Times New Roman" w:hAnsi="Times New Roman" w:eastAsia="宋体" w:cs="Times New Roman"/>
          <w:sz w:val="24"/>
          <w:szCs w:val="28"/>
        </w:rPr>
        <w:t>NO</w:t>
      </w:r>
      <w:r>
        <w:rPr>
          <w:rFonts w:ascii="Times New Roman" w:hAnsi="Times New Roman" w:eastAsia="宋体" w:cs="Times New Roman"/>
          <w:sz w:val="24"/>
          <w:szCs w:val="28"/>
          <w:vertAlign w:val="subscript"/>
        </w:rPr>
        <w:t>3</w:t>
      </w:r>
      <w:r>
        <w:rPr>
          <w:rFonts w:ascii="Times New Roman" w:hAnsi="Times New Roman" w:eastAsia="宋体" w:cs="Times New Roman"/>
          <w:sz w:val="24"/>
          <w:szCs w:val="28"/>
          <w:vertAlign w:val="superscript"/>
        </w:rPr>
        <w:t>-</w:t>
      </w:r>
      <w:r>
        <w:rPr>
          <w:rFonts w:ascii="Times New Roman" w:hAnsi="Times New Roman" w:eastAsia="宋体" w:cs="Times New Roman"/>
          <w:sz w:val="24"/>
          <w:szCs w:val="24"/>
        </w:rPr>
        <w:t>), and gas (N</w:t>
      </w:r>
      <w:r>
        <w:rPr>
          <w:rFonts w:ascii="Times New Roman" w:hAnsi="Times New Roman" w:eastAsia="宋体" w:cs="Times New Roman"/>
          <w:sz w:val="24"/>
          <w:szCs w:val="24"/>
          <w:vertAlign w:val="subscript"/>
        </w:rPr>
        <w:t>2</w:t>
      </w:r>
      <w:r>
        <w:rPr>
          <w:rFonts w:ascii="Times New Roman" w:hAnsi="Times New Roman" w:eastAsia="宋体" w:cs="Times New Roman"/>
          <w:sz w:val="24"/>
          <w:szCs w:val="24"/>
        </w:rPr>
        <w:t xml:space="preserve"> and </w:t>
      </w:r>
      <w:r>
        <w:rPr>
          <w:rFonts w:ascii="Times New Roman" w:hAnsi="Times New Roman" w:eastAsia="宋体" w:cs="Times New Roman"/>
          <w:sz w:val="24"/>
          <w:szCs w:val="28"/>
        </w:rPr>
        <w:t>N</w:t>
      </w:r>
      <w:r>
        <w:rPr>
          <w:rFonts w:ascii="Times New Roman" w:hAnsi="Times New Roman" w:eastAsia="宋体" w:cs="Times New Roman"/>
          <w:sz w:val="24"/>
          <w:szCs w:val="28"/>
          <w:vertAlign w:val="subscript"/>
        </w:rPr>
        <w:t>2</w:t>
      </w:r>
      <w:r>
        <w:rPr>
          <w:rFonts w:ascii="Times New Roman" w:hAnsi="Times New Roman" w:eastAsia="宋体" w:cs="Times New Roman"/>
          <w:sz w:val="24"/>
          <w:szCs w:val="28"/>
        </w:rPr>
        <w:t>O</w:t>
      </w:r>
      <w:r>
        <w:rPr>
          <w:rFonts w:ascii="Times New Roman" w:hAnsi="Times New Roman" w:eastAsia="宋体" w:cs="Times New Roman"/>
          <w:sz w:val="24"/>
          <w:szCs w:val="24"/>
        </w:rPr>
        <w:t>) during the stable-isotope tracing experiment. For the solid-phase organic nitrogen, washed, dried, and ground sludge samples were analyzed using an elemental analyzer coupled with an isotope-ratio mass spectrometer (Sercon Integra2 EA-IRMS)</w:t>
      </w:r>
      <w:r>
        <w:rPr>
          <w:rFonts w:ascii="Times New Roman" w:hAnsi="Times New Roman" w:eastAsia="宋体" w:cs="Times New Roman"/>
          <w:color w:val="000000"/>
          <w:sz w:val="24"/>
          <w:szCs w:val="24"/>
        </w:rPr>
        <w:t xml:space="preserve"> </w:t>
      </w:r>
      <w:sdt>
        <w:sdtPr>
          <w:rPr>
            <w:rFonts w:ascii="Times New Roman" w:hAnsi="Times New Roman" w:eastAsia="宋体" w:cs="Times New Roman"/>
            <w:color w:val="000000"/>
            <w:sz w:val="24"/>
            <w:szCs w:val="24"/>
          </w:rPr>
          <w:tag w:val="MENDELEY_CITATION_v3_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"/>
          <w:id w:val="728658617"/>
          <w:placeholder>
            <w:docPart w:val="46BAF43A472E4DD787AD0A2C41F4A3DF"/>
          </w:placeholder>
        </w:sdtPr>
        <w:sdtEndPr>
          <w:rPr>
            <w:rFonts w:ascii="Times New Roman" w:hAnsi="Times New Roman" w:eastAsia="宋体" w:cs="Times New Roman"/>
            <w:color w:val="000000"/>
            <w:sz w:val="24"/>
            <w:szCs w:val="24"/>
          </w:rPr>
        </w:sdtEndPr>
        <w:sdtContent>
          <w:r>
            <w:rPr>
              <w:rFonts w:ascii="Times New Roman" w:hAnsi="Times New Roman" w:eastAsia="宋体" w:cs="Times New Roman"/>
              <w:color w:val="000000"/>
              <w:sz w:val="24"/>
              <w:szCs w:val="24"/>
            </w:rPr>
            <w:t>(Ouyang et al., 2021)</w:t>
          </w:r>
        </w:sdtContent>
      </w:sdt>
      <w:r>
        <w:rPr>
          <w:rFonts w:ascii="Times New Roman" w:hAnsi="Times New Roman" w:eastAsia="宋体" w:cs="Times New Roman"/>
          <w:sz w:val="24"/>
          <w:szCs w:val="24"/>
        </w:rPr>
        <w:t xml:space="preserve">. In the liquid phase, all inorganic nitrogen species were converted to </w:t>
      </w:r>
      <w:r>
        <w:rPr>
          <w:rFonts w:ascii="Times New Roman" w:hAnsi="Times New Roman" w:eastAsia="宋体" w:cs="Times New Roman"/>
          <w:sz w:val="24"/>
          <w:szCs w:val="28"/>
        </w:rPr>
        <w:t>N</w:t>
      </w:r>
      <w:r>
        <w:rPr>
          <w:rFonts w:ascii="Times New Roman" w:hAnsi="Times New Roman" w:eastAsia="宋体" w:cs="Times New Roman"/>
          <w:sz w:val="24"/>
          <w:szCs w:val="28"/>
          <w:vertAlign w:val="subscript"/>
        </w:rPr>
        <w:t>2</w:t>
      </w:r>
      <w:r>
        <w:rPr>
          <w:rFonts w:ascii="Times New Roman" w:hAnsi="Times New Roman" w:eastAsia="宋体" w:cs="Times New Roman"/>
          <w:sz w:val="24"/>
          <w:szCs w:val="28"/>
        </w:rPr>
        <w:t>O</w:t>
      </w:r>
      <w:r>
        <w:rPr>
          <w:rFonts w:ascii="Times New Roman" w:hAnsi="Times New Roman" w:eastAsia="宋体" w:cs="Times New Roman"/>
          <w:sz w:val="24"/>
          <w:szCs w:val="24"/>
        </w:rPr>
        <w:t xml:space="preserve"> prior to measurement: </w:t>
      </w:r>
      <w:r>
        <w:rPr>
          <w:rFonts w:ascii="Times New Roman" w:hAnsi="Times New Roman" w:eastAsia="宋体" w:cs="Times New Roman"/>
          <w:sz w:val="24"/>
          <w:szCs w:val="28"/>
          <w:vertAlign w:val="superscript"/>
        </w:rPr>
        <w:t>15</w:t>
      </w:r>
      <w:r>
        <w:rPr>
          <w:rFonts w:ascii="Times New Roman" w:hAnsi="Times New Roman" w:eastAsia="宋体" w:cs="Times New Roman"/>
          <w:sz w:val="24"/>
          <w:szCs w:val="28"/>
        </w:rPr>
        <w:t>NH</w:t>
      </w:r>
      <w:r>
        <w:rPr>
          <w:rFonts w:ascii="Times New Roman" w:hAnsi="Times New Roman" w:eastAsia="宋体" w:cs="Times New Roman"/>
          <w:sz w:val="24"/>
          <w:szCs w:val="28"/>
          <w:vertAlign w:val="subscript"/>
        </w:rPr>
        <w:t>4</w:t>
      </w:r>
      <w:r>
        <w:rPr>
          <w:rFonts w:ascii="Times New Roman" w:hAnsi="Times New Roman" w:eastAsia="宋体" w:cs="Times New Roman"/>
          <w:sz w:val="24"/>
          <w:szCs w:val="28"/>
          <w:vertAlign w:val="superscript"/>
        </w:rPr>
        <w:t>+</w:t>
      </w:r>
      <w:r>
        <w:rPr>
          <w:rFonts w:ascii="Times New Roman" w:hAnsi="Times New Roman" w:eastAsia="宋体" w:cs="Times New Roman"/>
          <w:sz w:val="24"/>
          <w:szCs w:val="24"/>
        </w:rPr>
        <w:t xml:space="preserve"> was converted via hypobromite oxidation followed by an azide reaction; </w:t>
      </w:r>
      <w:r>
        <w:rPr>
          <w:rFonts w:ascii="Times New Roman" w:hAnsi="Times New Roman" w:eastAsia="宋体" w:cs="Times New Roman"/>
          <w:sz w:val="24"/>
          <w:szCs w:val="28"/>
          <w:vertAlign w:val="superscript"/>
        </w:rPr>
        <w:t>15</w:t>
      </w:r>
      <w:r>
        <w:rPr>
          <w:rFonts w:ascii="Times New Roman" w:hAnsi="Times New Roman" w:eastAsia="宋体" w:cs="Times New Roman"/>
          <w:sz w:val="24"/>
          <w:szCs w:val="28"/>
        </w:rPr>
        <w:t>NO</w:t>
      </w:r>
      <w:r>
        <w:rPr>
          <w:rFonts w:ascii="Times New Roman" w:hAnsi="Times New Roman" w:eastAsia="宋体" w:cs="Times New Roman"/>
          <w:sz w:val="24"/>
          <w:szCs w:val="28"/>
          <w:vertAlign w:val="subscript"/>
        </w:rPr>
        <w:t>2</w:t>
      </w:r>
      <w:r>
        <w:rPr>
          <w:rFonts w:ascii="Times New Roman" w:hAnsi="Times New Roman" w:eastAsia="宋体" w:cs="Times New Roman"/>
          <w:sz w:val="24"/>
          <w:szCs w:val="28"/>
          <w:vertAlign w:val="superscript"/>
        </w:rPr>
        <w:t>-</w:t>
      </w:r>
      <w:r>
        <w:rPr>
          <w:rFonts w:ascii="Times New Roman" w:hAnsi="Times New Roman" w:eastAsia="宋体" w:cs="Times New Roman"/>
          <w:sz w:val="24"/>
          <w:szCs w:val="24"/>
        </w:rPr>
        <w:t xml:space="preserve"> was converted through an azide reaction; and </w:t>
      </w:r>
      <w:r>
        <w:rPr>
          <w:rFonts w:ascii="Times New Roman" w:hAnsi="Times New Roman" w:eastAsia="宋体" w:cs="Times New Roman"/>
          <w:sz w:val="24"/>
          <w:szCs w:val="28"/>
          <w:vertAlign w:val="superscript"/>
        </w:rPr>
        <w:t>15</w:t>
      </w:r>
      <w:r>
        <w:rPr>
          <w:rFonts w:ascii="Times New Roman" w:hAnsi="Times New Roman" w:eastAsia="宋体" w:cs="Times New Roman"/>
          <w:sz w:val="24"/>
          <w:szCs w:val="28"/>
        </w:rPr>
        <w:t>NO</w:t>
      </w:r>
      <w:r>
        <w:rPr>
          <w:rFonts w:ascii="Times New Roman" w:hAnsi="Times New Roman" w:eastAsia="宋体" w:cs="Times New Roman"/>
          <w:sz w:val="24"/>
          <w:szCs w:val="28"/>
          <w:vertAlign w:val="subscript"/>
        </w:rPr>
        <w:t>3</w:t>
      </w:r>
      <w:r>
        <w:rPr>
          <w:rFonts w:ascii="Times New Roman" w:hAnsi="Times New Roman" w:eastAsia="宋体" w:cs="Times New Roman"/>
          <w:sz w:val="24"/>
          <w:szCs w:val="28"/>
          <w:vertAlign w:val="superscript"/>
        </w:rPr>
        <w:t>-</w:t>
      </w:r>
      <w:r>
        <w:rPr>
          <w:rFonts w:ascii="Times New Roman" w:hAnsi="Times New Roman" w:eastAsia="宋体" w:cs="Times New Roman"/>
          <w:sz w:val="24"/>
          <w:szCs w:val="24"/>
        </w:rPr>
        <w:t xml:space="preserve"> was reduced using the denitrifier method </w:t>
      </w:r>
      <w:sdt>
        <w:sdtPr>
          <w:rPr>
            <w:rFonts w:ascii="Times New Roman" w:hAnsi="Times New Roman" w:eastAsia="宋体" w:cs="Times New Roman"/>
            <w:color w:val="000000"/>
            <w:sz w:val="24"/>
            <w:szCs w:val="28"/>
          </w:rPr>
          <w:tag w:val="MENDELEY_CITATION_v3_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"/>
          <w:id w:val="-15072063"/>
          <w:placeholder>
            <w:docPart w:val="6FBA58DD5B7D4ADFB45BD72B131B0037"/>
          </w:placeholder>
        </w:sdtPr>
        <w:sdtEndPr>
          <w:rPr>
            <w:rFonts w:ascii="Times New Roman" w:hAnsi="Times New Roman" w:eastAsia="宋体" w:cs="Times New Roman"/>
            <w:color w:val="000000"/>
            <w:sz w:val="24"/>
            <w:szCs w:val="28"/>
          </w:rPr>
        </w:sdtEndPr>
        <w:sdtContent>
          <w:r>
            <w:rPr>
              <w:rFonts w:ascii="Times New Roman" w:hAnsi="Times New Roman" w:eastAsia="宋体" w:cs="Times New Roman"/>
              <w:color w:val="000000"/>
              <w:sz w:val="24"/>
              <w:szCs w:val="28"/>
            </w:rPr>
            <w:t>(Kim et al., 2023)</w:t>
          </w:r>
        </w:sdtContent>
      </w:sdt>
      <w:r>
        <w:rPr>
          <w:rFonts w:ascii="Times New Roman" w:hAnsi="Times New Roman" w:eastAsia="宋体" w:cs="Times New Roman"/>
          <w:sz w:val="24"/>
          <w:szCs w:val="24"/>
        </w:rPr>
        <w:t xml:space="preserve">. The resulting </w:t>
      </w:r>
      <w:r>
        <w:rPr>
          <w:rFonts w:ascii="Times New Roman" w:hAnsi="Times New Roman" w:eastAsia="宋体" w:cs="Times New Roman"/>
          <w:sz w:val="24"/>
          <w:szCs w:val="28"/>
        </w:rPr>
        <w:t>N</w:t>
      </w:r>
      <w:r>
        <w:rPr>
          <w:rFonts w:ascii="Times New Roman" w:hAnsi="Times New Roman" w:eastAsia="宋体" w:cs="Times New Roman"/>
          <w:sz w:val="24"/>
          <w:szCs w:val="28"/>
          <w:vertAlign w:val="subscript"/>
        </w:rPr>
        <w:t>2</w:t>
      </w:r>
      <w:r>
        <w:rPr>
          <w:rFonts w:ascii="Times New Roman" w:hAnsi="Times New Roman" w:eastAsia="宋体" w:cs="Times New Roman"/>
          <w:sz w:val="24"/>
          <w:szCs w:val="28"/>
        </w:rPr>
        <w:t>O</w:t>
      </w:r>
      <w:r>
        <w:rPr>
          <w:rFonts w:ascii="Times New Roman" w:hAnsi="Times New Roman" w:eastAsia="宋体" w:cs="Times New Roman"/>
          <w:sz w:val="24"/>
          <w:szCs w:val="24"/>
        </w:rPr>
        <w:t xml:space="preserve"> was pre-concentrated and introduced via a GasBench II interface to an isotope-ratio mass spectrometer (Thermo MAT 253) for measurement. In the headspace, </w:t>
      </w:r>
      <w:r>
        <w:rPr>
          <w:rFonts w:ascii="Times New Roman" w:hAnsi="Times New Roman" w:eastAsia="宋体" w:cs="Times New Roman"/>
          <w:sz w:val="24"/>
          <w:szCs w:val="28"/>
        </w:rPr>
        <w:t>N</w:t>
      </w:r>
      <w:r>
        <w:rPr>
          <w:rFonts w:ascii="Times New Roman" w:hAnsi="Times New Roman" w:eastAsia="宋体" w:cs="Times New Roman"/>
          <w:sz w:val="24"/>
          <w:szCs w:val="28"/>
          <w:vertAlign w:val="subscript"/>
        </w:rPr>
        <w:t>2</w:t>
      </w:r>
      <w:r>
        <w:rPr>
          <w:rFonts w:ascii="Times New Roman" w:hAnsi="Times New Roman" w:eastAsia="宋体" w:cs="Times New Roman"/>
          <w:sz w:val="24"/>
          <w:szCs w:val="28"/>
        </w:rPr>
        <w:t>O</w:t>
      </w:r>
      <w:r>
        <w:rPr>
          <w:rFonts w:ascii="Times New Roman" w:hAnsi="Times New Roman" w:eastAsia="宋体" w:cs="Times New Roman"/>
          <w:sz w:val="24"/>
          <w:szCs w:val="24"/>
        </w:rPr>
        <w:t xml:space="preserve"> was pre-concentrated (Sercon Cryoprep) and measured with an isotope-ratio mass spectrometer (Sercon 20-22)</w:t>
      </w:r>
      <w:r>
        <w:rPr>
          <w:rFonts w:ascii="Times New Roman" w:hAnsi="Times New Roman" w:eastAsia="宋体" w:cs="Times New Roman"/>
          <w:color w:val="000000"/>
          <w:sz w:val="24"/>
          <w:szCs w:val="24"/>
        </w:rPr>
        <w:t xml:space="preserve"> </w:t>
      </w:r>
      <w:sdt>
        <w:sdtPr>
          <w:rPr>
            <w:rFonts w:ascii="Times New Roman" w:hAnsi="Times New Roman" w:eastAsia="宋体" w:cs="Times New Roman"/>
            <w:color w:val="000000"/>
            <w:sz w:val="24"/>
            <w:szCs w:val="24"/>
          </w:rPr>
          <w:tag w:val="MENDELEY_CITATION_v3_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"/>
          <w:id w:val="-1278634638"/>
          <w:placeholder>
            <w:docPart w:val="714C4C21B78346219485B99643A6A12A"/>
          </w:placeholder>
        </w:sdtPr>
        <w:sdtEndPr>
          <w:rPr>
            <w:rFonts w:ascii="Times New Roman" w:hAnsi="Times New Roman" w:eastAsia="宋体" w:cs="Times New Roman"/>
            <w:color w:val="000000"/>
            <w:sz w:val="24"/>
            <w:szCs w:val="24"/>
          </w:rPr>
        </w:sdtEndPr>
        <w:sdtContent>
          <w:r>
            <w:rPr>
              <w:rFonts w:ascii="Times New Roman" w:hAnsi="Times New Roman" w:eastAsia="宋体" w:cs="Times New Roman"/>
              <w:color w:val="000000"/>
              <w:sz w:val="24"/>
              <w:szCs w:val="24"/>
            </w:rPr>
            <w:t>(Wankel et al., 2017)</w:t>
          </w:r>
        </w:sdtContent>
      </w:sdt>
      <w:r>
        <w:rPr>
          <w:rFonts w:ascii="Times New Roman" w:hAnsi="Times New Roman" w:eastAsia="宋体" w:cs="Times New Roman"/>
          <w:sz w:val="24"/>
          <w:szCs w:val="24"/>
        </w:rPr>
        <w:t xml:space="preserve">; </w:t>
      </w:r>
      <w:r>
        <w:rPr>
          <w:rFonts w:ascii="Times New Roman" w:hAnsi="Times New Roman" w:eastAsia="宋体" w:cs="Times New Roman"/>
          <w:sz w:val="24"/>
          <w:szCs w:val="28"/>
        </w:rPr>
        <w:t>N</w:t>
      </w:r>
      <w:r>
        <w:rPr>
          <w:rFonts w:ascii="Times New Roman" w:hAnsi="Times New Roman" w:eastAsia="宋体" w:cs="Times New Roman"/>
          <w:sz w:val="24"/>
          <w:szCs w:val="28"/>
          <w:vertAlign w:val="subscript"/>
        </w:rPr>
        <w:t>2</w:t>
      </w:r>
      <w:r>
        <w:rPr>
          <w:rFonts w:ascii="Times New Roman" w:hAnsi="Times New Roman" w:eastAsia="宋体" w:cs="Times New Roman"/>
          <w:sz w:val="24"/>
          <w:szCs w:val="24"/>
        </w:rPr>
        <w:t xml:space="preserve"> was pre-concentrated and analyzed using a GasBench system coupled with an isotope-ratio mass spectrometer (Thermo Delta V Advantage)</w:t>
      </w:r>
      <w:r>
        <w:rPr>
          <w:rFonts w:ascii="Times New Roman" w:hAnsi="Times New Roman" w:eastAsia="宋体" w:cs="Times New Roman"/>
          <w:color w:val="000000"/>
          <w:sz w:val="24"/>
          <w:szCs w:val="24"/>
        </w:rPr>
        <w:t xml:space="preserve"> </w:t>
      </w:r>
      <w:sdt>
        <w:sdtPr>
          <w:rPr>
            <w:rFonts w:ascii="Times New Roman" w:hAnsi="Times New Roman" w:eastAsia="宋体" w:cs="Times New Roman"/>
            <w:color w:val="000000"/>
            <w:sz w:val="24"/>
            <w:szCs w:val="24"/>
          </w:rPr>
          <w:tag w:val="MENDELEY_CITATION_v3_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"/>
          <w:id w:val="-1770766483"/>
          <w:placeholder>
            <w:docPart w:val="E568753D1101497FBD106FFEA9DC8A7D"/>
          </w:placeholder>
        </w:sdtPr>
        <w:sdtEndPr>
          <w:rPr>
            <w:rFonts w:ascii="Times New Roman" w:hAnsi="Times New Roman" w:eastAsia="宋体" w:cs="Times New Roman"/>
            <w:color w:val="000000"/>
            <w:sz w:val="24"/>
            <w:szCs w:val="24"/>
          </w:rPr>
        </w:sdtEndPr>
        <w:sdtContent>
          <w:r>
            <w:rPr>
              <w:rFonts w:ascii="Times New Roman" w:hAnsi="Times New Roman" w:eastAsia="宋体" w:cs="Times New Roman"/>
              <w:color w:val="000000"/>
              <w:sz w:val="24"/>
              <w:szCs w:val="24"/>
            </w:rPr>
            <w:t>(Ouyang et al., 2021)</w:t>
          </w:r>
        </w:sdtContent>
      </w:sdt>
      <w:r>
        <w:rPr>
          <w:rFonts w:ascii="Times New Roman" w:hAnsi="Times New Roman" w:eastAsia="宋体" w:cs="Times New Roman"/>
          <w:sz w:val="24"/>
          <w:szCs w:val="24"/>
        </w:rPr>
        <w:t>. Samples from all phases (including the initial feed) were collected on days 0, 5, 10, and 20, and analyzed in triplicate.</w:t>
      </w:r>
    </w:p>
    <w:p w14:paraId="420F36BE">
      <w:pPr>
        <w:widowControl/>
        <w:jc w:val="left"/>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br w:type="page"/>
      </w:r>
    </w:p>
    <w:p w14:paraId="5CB3F3B5">
      <w:pPr>
        <w:widowControl/>
        <w:spacing w:line="480" w:lineRule="auto"/>
        <w:jc w:val="left"/>
        <w:rPr>
          <w:rFonts w:ascii="Times New Roman" w:hAnsi="Times New Roman" w:eastAsia="宋体" w:cs="Times New Roman"/>
          <w:b/>
          <w:bCs/>
          <w:sz w:val="24"/>
          <w:szCs w:val="28"/>
        </w:rPr>
      </w:pPr>
      <w:r>
        <w:rPr>
          <w:rFonts w:ascii="Times New Roman" w:hAnsi="Times New Roman" w:eastAsia="宋体" w:cs="Times New Roman"/>
          <w:b/>
          <w:bCs/>
          <w:sz w:val="24"/>
          <w:szCs w:val="28"/>
        </w:rPr>
        <w:t>1.3 Verification of micro-aerobic nitrogen removal under high-ammonia conditions</w:t>
      </w:r>
    </w:p>
    <w:p w14:paraId="7E995B0A">
      <w:pPr>
        <w:widowControl/>
        <w:spacing w:line="480" w:lineRule="auto"/>
        <w:ind w:firstLine="480" w:firstLineChars="200"/>
        <w:jc w:val="left"/>
        <w:rPr>
          <w:rFonts w:ascii="Times New Roman" w:hAnsi="Times New Roman" w:eastAsia="宋体" w:cs="Times New Roman"/>
          <w:sz w:val="24"/>
          <w:szCs w:val="28"/>
        </w:rPr>
      </w:pPr>
      <w:r>
        <w:rPr>
          <w:rFonts w:ascii="Times New Roman" w:hAnsi="Times New Roman" w:eastAsia="宋体" w:cs="Times New Roman"/>
          <w:sz w:val="24"/>
          <w:szCs w:val="28"/>
        </w:rPr>
        <w:t xml:space="preserve">A 50-day batch experiment was conducted to evaluate the feasibility of the micro-aeration process for treating actual high-ammonia digestate. Pre-filtered (2-mm sieve) fresh digestate (initial COD 4193.70 mg/L, </w:t>
      </w:r>
      <w:r>
        <w:rPr>
          <w:rFonts w:ascii="Times New Roman" w:hAnsi="Times New Roman" w:eastAsia="宋体" w:cs="Times New Roman"/>
          <w:sz w:val="24"/>
          <w:szCs w:val="24"/>
        </w:rPr>
        <w:t>TAN</w:t>
      </w:r>
      <w:r>
        <w:rPr>
          <w:rFonts w:ascii="Times New Roman" w:hAnsi="Times New Roman" w:eastAsia="宋体" w:cs="Times New Roman"/>
          <w:sz w:val="24"/>
          <w:szCs w:val="28"/>
        </w:rPr>
        <w:t xml:space="preserve"> 3167.44 mg/L) was utilized as the substrate without the addition of external sludge inoculation. Experiments were conducted in 1000 mL sealed serum bottles with a working volume of 800 mL at a temperature of 37 </w:t>
      </w:r>
      <w:r>
        <w:rPr>
          <w:rFonts w:ascii="Times New Roman" w:hAnsi="Times New Roman" w:cs="Times New Roman"/>
          <w:sz w:val="24"/>
          <w:szCs w:val="28"/>
        </w:rPr>
        <w:t>°C</w:t>
      </w:r>
      <w:r>
        <w:rPr>
          <w:rFonts w:ascii="Times New Roman" w:hAnsi="Times New Roman" w:eastAsia="宋体" w:cs="Times New Roman"/>
          <w:sz w:val="24"/>
          <w:szCs w:val="28"/>
        </w:rPr>
        <w:t>; the initial pH was maintained at 7.8 ± 0.1. Intermittent micro-aeration was implemented to sustain the peak oxidation-reduction potential (ORP) pulse at approximately -50 mV. A test group and a non-aerated control group were established. Samples were collected every 5 days, filtered using 0.45-</w:t>
      </w:r>
      <w:r>
        <w:rPr>
          <w:rFonts w:ascii="Times New Roman" w:hAnsi="Times New Roman" w:cs="Times New Roman"/>
          <w:sz w:val="24"/>
          <w:szCs w:val="28"/>
        </w:rPr>
        <w:t>μm</w:t>
      </w:r>
      <w:r>
        <w:rPr>
          <w:rFonts w:ascii="Times New Roman" w:hAnsi="Times New Roman" w:eastAsia="宋体" w:cs="Times New Roman"/>
          <w:sz w:val="24"/>
          <w:szCs w:val="28"/>
        </w:rPr>
        <w:t xml:space="preserve"> hydrophilic PTFE syringe filters, and analyzed for TAN and COD to monitor nitrogen removal and substrate consumption. Each experimental condition was replicated in triplicate.</w:t>
      </w:r>
    </w:p>
    <w:p w14:paraId="5C468B3D">
      <w:pPr>
        <w:widowControl/>
        <w:spacing w:line="480" w:lineRule="auto"/>
        <w:ind w:firstLine="482" w:firstLineChars="200"/>
        <w:jc w:val="left"/>
        <w:rPr>
          <w:rFonts w:ascii="Times New Roman" w:hAnsi="Times New Roman" w:eastAsia="宋体" w:cs="Times New Roman"/>
          <w:sz w:val="24"/>
          <w:szCs w:val="28"/>
        </w:rPr>
      </w:pPr>
      <w:r>
        <w:rPr>
          <w:rFonts w:ascii="Times New Roman" w:hAnsi="Times New Roman" w:eastAsia="宋体" w:cs="Times New Roman"/>
          <w:b/>
          <w:bCs/>
          <w:sz w:val="24"/>
          <w:szCs w:val="28"/>
        </w:rPr>
        <w:br w:type="page"/>
      </w:r>
    </w:p>
    <w:p w14:paraId="7327B603">
      <w:pPr>
        <w:spacing w:line="480" w:lineRule="auto"/>
        <w:jc w:val="left"/>
        <w:rPr>
          <w:rFonts w:ascii="Times New Roman" w:hAnsi="Times New Roman" w:eastAsia="宋体" w:cs="Times New Roman"/>
          <w:b/>
          <w:bCs/>
          <w:sz w:val="24"/>
          <w:szCs w:val="24"/>
        </w:rPr>
      </w:pPr>
      <w:r>
        <w:rPr>
          <w:rFonts w:ascii="Times New Roman" w:hAnsi="Times New Roman" w:eastAsia="宋体" w:cs="Times New Roman"/>
          <w:b/>
          <w:bCs/>
          <w:sz w:val="24"/>
          <w:szCs w:val="24"/>
        </w:rPr>
        <w:t>1.4 Routine physicochemical analyses and EPS fractionation</w:t>
      </w:r>
    </w:p>
    <w:p w14:paraId="3999B99A">
      <w:pPr>
        <w:spacing w:line="456"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The oxidation–reduction potential (ORP) in each reactor was continuously monitored using an industrial-grade ORP electrode positioned 2 cm below the liquid surface, with data recorded at 10-s intervals using a digital data logger. Immediately after completion of Phase III of the isotope-tracing experiment, in situ spatial ORP profiling was performed to characterize the spatial distribution of the redox environment within the reactor.</w:t>
      </w:r>
    </w:p>
    <w:p w14:paraId="3D979755">
      <w:pPr>
        <w:spacing w:line="456"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Hydrogen and methane contents in the reactor headspace were determined by gas chromatography (Agilent 7890, Agilent Technologies, USA) equipped with a thermal conductivity detector. Gas-phase samples were collected at the end of each experimental phase.</w:t>
      </w:r>
    </w:p>
    <w:p w14:paraId="260D3166">
      <w:pPr>
        <w:spacing w:line="456"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Liquid samples were collected every three days during Phases I and II and daily during Phases III and IV. The samples were filtered through 0.45-μm membrane filters and analyzed for COD, TAN, nitrite nitrogen (NO</w:t>
      </w:r>
      <w:r>
        <w:rPr>
          <w:rFonts w:ascii="Times New Roman" w:hAnsi="Times New Roman" w:eastAsia="宋体" w:cs="Times New Roman"/>
          <w:sz w:val="24"/>
          <w:szCs w:val="24"/>
          <w:vertAlign w:val="subscript"/>
        </w:rPr>
        <w:t>2</w:t>
      </w:r>
      <w:r>
        <w:rPr>
          <w:rFonts w:ascii="Times New Roman" w:hAnsi="Times New Roman" w:eastAsia="宋体" w:cs="Times New Roman"/>
          <w:sz w:val="24"/>
          <w:szCs w:val="24"/>
          <w:vertAlign w:val="superscript"/>
        </w:rPr>
        <w:t>-</w:t>
      </w:r>
      <w:r>
        <w:rPr>
          <w:rFonts w:ascii="Times New Roman" w:hAnsi="Times New Roman" w:eastAsia="宋体" w:cs="Times New Roman"/>
          <w:sz w:val="24"/>
          <w:szCs w:val="24"/>
        </w:rPr>
        <w:t>-N), nitrate nitrogen (NO</w:t>
      </w:r>
      <w:r>
        <w:rPr>
          <w:rFonts w:ascii="Times New Roman" w:hAnsi="Times New Roman" w:eastAsia="宋体" w:cs="Times New Roman"/>
          <w:sz w:val="24"/>
          <w:szCs w:val="24"/>
          <w:vertAlign w:val="subscript"/>
        </w:rPr>
        <w:t>3</w:t>
      </w:r>
      <w:r>
        <w:rPr>
          <w:rFonts w:ascii="Times New Roman" w:hAnsi="Times New Roman" w:eastAsia="宋体" w:cs="Times New Roman"/>
          <w:sz w:val="24"/>
          <w:szCs w:val="24"/>
          <w:vertAlign w:val="superscript"/>
        </w:rPr>
        <w:t>-</w:t>
      </w:r>
      <w:r>
        <w:rPr>
          <w:rFonts w:ascii="Times New Roman" w:hAnsi="Times New Roman" w:eastAsia="宋体" w:cs="Times New Roman"/>
          <w:sz w:val="24"/>
          <w:szCs w:val="24"/>
        </w:rPr>
        <w:t>-N), total nitrogen (TN), and hydroxylamine (NH</w:t>
      </w:r>
      <w:r>
        <w:rPr>
          <w:rFonts w:ascii="Times New Roman" w:hAnsi="Times New Roman" w:eastAsia="宋体" w:cs="Times New Roman"/>
          <w:sz w:val="24"/>
          <w:szCs w:val="24"/>
          <w:vertAlign w:val="subscript"/>
        </w:rPr>
        <w:t>2</w:t>
      </w:r>
      <w:r>
        <w:rPr>
          <w:rFonts w:ascii="Times New Roman" w:hAnsi="Times New Roman" w:eastAsia="宋体" w:cs="Times New Roman"/>
          <w:sz w:val="24"/>
          <w:szCs w:val="24"/>
        </w:rPr>
        <w:t>OH). COD was determined using the dichromate method; TAN was measured by Nessler's reagent spectrophotometry; NO</w:t>
      </w:r>
      <w:r>
        <w:rPr>
          <w:rFonts w:ascii="Times New Roman" w:hAnsi="Times New Roman" w:eastAsia="宋体" w:cs="Times New Roman"/>
          <w:sz w:val="24"/>
          <w:szCs w:val="24"/>
          <w:vertAlign w:val="subscript"/>
        </w:rPr>
        <w:t>2</w:t>
      </w:r>
      <w:r>
        <w:rPr>
          <w:rFonts w:ascii="Times New Roman" w:hAnsi="Times New Roman" w:eastAsia="宋体" w:cs="Times New Roman"/>
          <w:sz w:val="24"/>
          <w:szCs w:val="24"/>
          <w:vertAlign w:val="superscript"/>
        </w:rPr>
        <w:t>-</w:t>
      </w:r>
      <w:r>
        <w:rPr>
          <w:rFonts w:ascii="Times New Roman" w:hAnsi="Times New Roman" w:eastAsia="宋体" w:cs="Times New Roman"/>
          <w:sz w:val="24"/>
          <w:szCs w:val="24"/>
        </w:rPr>
        <w:t>-N was quantified using N-(1-naphthyl)-ethylenediamine spectrophotometry; NO</w:t>
      </w:r>
      <w:r>
        <w:rPr>
          <w:rFonts w:ascii="Times New Roman" w:hAnsi="Times New Roman" w:eastAsia="宋体" w:cs="Times New Roman"/>
          <w:sz w:val="24"/>
          <w:szCs w:val="24"/>
          <w:vertAlign w:val="subscript"/>
        </w:rPr>
        <w:t>3</w:t>
      </w:r>
      <w:r>
        <w:rPr>
          <w:rFonts w:ascii="Times New Roman" w:hAnsi="Times New Roman" w:eastAsia="宋体" w:cs="Times New Roman"/>
          <w:sz w:val="24"/>
          <w:szCs w:val="24"/>
          <w:vertAlign w:val="superscript"/>
        </w:rPr>
        <w:t>-</w:t>
      </w:r>
      <w:r>
        <w:rPr>
          <w:rFonts w:ascii="Times New Roman" w:hAnsi="Times New Roman" w:eastAsia="宋体" w:cs="Times New Roman"/>
          <w:sz w:val="24"/>
          <w:szCs w:val="24"/>
        </w:rPr>
        <w:t xml:space="preserve">-N was determined by UV spectrophotometry; and TN was measured by alkaline persulfate digestion followed by UV spectrophotometry. Hydroxylamine concentration was determined using the 8-hydroxyquinoline method </w:t>
      </w:r>
      <w:sdt>
        <w:sdtPr>
          <w:rPr>
            <w:rFonts w:ascii="Times New Roman" w:hAnsi="Times New Roman" w:eastAsia="宋体" w:cs="Times New Roman"/>
            <w:color w:val="000000"/>
            <w:sz w:val="24"/>
            <w:szCs w:val="24"/>
          </w:rPr>
          <w:tag w:val="MENDELEY_CITATION_v3_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"/>
          <w:id w:val="1731499189"/>
          <w:placeholder>
            <w:docPart w:val="DF504A3E7C0A4CB9ABB5251906177BFB"/>
          </w:placeholder>
        </w:sdtPr>
        <w:sdtEndPr>
          <w:rPr>
            <w:rFonts w:ascii="Times New Roman" w:hAnsi="Times New Roman" w:eastAsia="宋体" w:cs="Times New Roman"/>
            <w:color w:val="000000"/>
            <w:sz w:val="24"/>
            <w:szCs w:val="24"/>
          </w:rPr>
        </w:sdtEndPr>
        <w:sdtContent>
          <w:r>
            <w:rPr>
              <w:rFonts w:ascii="Times New Roman" w:hAnsi="Times New Roman" w:eastAsia="宋体" w:cs="Times New Roman"/>
              <w:color w:val="000000"/>
              <w:sz w:val="24"/>
              <w:szCs w:val="24"/>
            </w:rPr>
            <w:t>(Su et al., 2024)</w:t>
          </w:r>
        </w:sdtContent>
      </w:sdt>
      <w:r>
        <w:rPr>
          <w:rFonts w:ascii="Times New Roman" w:hAnsi="Times New Roman" w:eastAsia="宋体" w:cs="Times New Roman"/>
          <w:sz w:val="24"/>
          <w:szCs w:val="24"/>
        </w:rPr>
        <w:t>. All spectrophotometric measurements were performed using a UV-Vis spectrophotometer (Agilent Cary 4000).</w:t>
      </w:r>
    </w:p>
    <w:p w14:paraId="7A7E84D9">
      <w:pPr>
        <w:spacing w:line="456"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 xml:space="preserve">Sludge samples collected at the end of Phases II, III, and IV were used for extracellular polymeric substance (EPS) extraction. EPS was sequentially fractionated into soluble EPS (S-EPS), loosely bound EPS (LB-EPS), and tightly bound EPS (TB-EPS) according to </w:t>
      </w:r>
      <w:sdt>
        <w:sdtPr>
          <w:rPr>
            <w:rFonts w:ascii="Times New Roman" w:hAnsi="Times New Roman" w:eastAsia="宋体" w:cs="Times New Roman"/>
            <w:color w:val="000000"/>
            <w:sz w:val="24"/>
            <w:szCs w:val="24"/>
          </w:rPr>
          <w:tag w:val="MENDELEY_CITATION_v3_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"/>
          <w:id w:val="37398443"/>
          <w:placeholder>
            <w:docPart w:val="C10CD6834AC34A5FACB5FC18D613C201"/>
          </w:placeholder>
        </w:sdtPr>
        <w:sdtEndPr>
          <w:rPr>
            <w:rFonts w:ascii="Times New Roman" w:hAnsi="Times New Roman" w:eastAsia="宋体" w:cs="Times New Roman"/>
            <w:color w:val="000000"/>
            <w:sz w:val="24"/>
            <w:szCs w:val="24"/>
          </w:rPr>
        </w:sdtEndPr>
        <w:sdtContent>
          <w:r>
            <w:rPr>
              <w:rFonts w:ascii="Times New Roman" w:hAnsi="Times New Roman" w:eastAsia="宋体" w:cs="Times New Roman"/>
              <w:color w:val="000000"/>
              <w:sz w:val="24"/>
              <w:szCs w:val="24"/>
            </w:rPr>
            <w:t>Ye et al. (2025)</w:t>
          </w:r>
        </w:sdtContent>
      </w:sdt>
      <w:r>
        <w:rPr>
          <w:rFonts w:ascii="Times New Roman" w:hAnsi="Times New Roman" w:eastAsia="宋体" w:cs="Times New Roman"/>
          <w:sz w:val="24"/>
          <w:szCs w:val="24"/>
        </w:rPr>
        <w:t>. Briefly, mixed sludge samples were centrifuged, and the resulting supernatant was collected as S-EPS. The remaining pellet was resuspended in preheated NaCl solution, vortexed, and centrifuged to obtain LB-EPS. The residual pellet was subsequently incubated in a 60 °C water bath and centrifuged to obtain TB-EPS. All EPS extracts were filtered through 0.45-μm membrane filters prior to analysis.</w:t>
      </w:r>
      <w:r>
        <w:rPr>
          <w:rFonts w:ascii="Times New Roman" w:hAnsi="Times New Roman" w:eastAsia="宋体" w:cs="Times New Roman"/>
          <w:sz w:val="24"/>
          <w:szCs w:val="24"/>
        </w:rPr>
        <w:br w:type="page"/>
      </w:r>
    </w:p>
    <w:p w14:paraId="62BB8086">
      <w:pPr>
        <w:spacing w:line="480" w:lineRule="auto"/>
        <w:jc w:val="left"/>
        <w:rPr>
          <w:rFonts w:ascii="Times New Roman" w:hAnsi="Times New Roman" w:eastAsia="宋体" w:cs="Times New Roman"/>
          <w:b/>
          <w:bCs/>
          <w:sz w:val="24"/>
          <w:szCs w:val="32"/>
        </w:rPr>
      </w:pPr>
      <w:bookmarkStart w:id="2" w:name="OLE_LINK5"/>
      <w:r>
        <w:rPr>
          <w:rFonts w:ascii="Times New Roman" w:hAnsi="Times New Roman" w:eastAsia="宋体" w:cs="Times New Roman"/>
          <w:b/>
          <w:bCs/>
          <w:sz w:val="24"/>
          <w:szCs w:val="32"/>
        </w:rPr>
        <w:t>1.5 Metagenomic sequencing, assembly, and binning</w:t>
      </w:r>
    </w:p>
    <w:p w14:paraId="4E3E9315">
      <w:pPr>
        <w:spacing w:line="480" w:lineRule="auto"/>
        <w:ind w:firstLine="480" w:firstLineChars="200"/>
        <w:jc w:val="left"/>
        <w:rPr>
          <w:rFonts w:ascii="Times New Roman" w:hAnsi="Times New Roman" w:eastAsia="宋体" w:cs="Times New Roman"/>
          <w:sz w:val="24"/>
          <w:szCs w:val="32"/>
        </w:rPr>
      </w:pPr>
      <w:r>
        <w:rPr>
          <w:rFonts w:ascii="Times New Roman" w:hAnsi="Times New Roman" w:eastAsia="宋体" w:cs="Times New Roman"/>
          <w:sz w:val="24"/>
          <w:szCs w:val="32"/>
        </w:rPr>
        <w:t>Sludge samples from the CK and MG groups were collected at the end of Phases II and IV. Total genomic DNA was extracted using the FastDNA Spin Kit for Soil (MP Biomedicals, USA). Metagenomic libraries were prepared according to the methodology described by Zhang et al. and sequenced on an Illumina NovaSeq 6000 platform (PE150)</w:t>
      </w:r>
      <w:r>
        <w:rPr>
          <w:rFonts w:ascii="Times New Roman" w:hAnsi="Times New Roman" w:eastAsia="宋体" w:cs="Times New Roman"/>
          <w:color w:val="000000"/>
          <w:sz w:val="24"/>
          <w:szCs w:val="32"/>
        </w:rPr>
        <w:t xml:space="preserve"> </w:t>
      </w:r>
      <w:sdt>
        <w:sdtPr>
          <w:rPr>
            <w:rFonts w:ascii="Times New Roman" w:hAnsi="Times New Roman" w:eastAsia="宋体" w:cs="Times New Roman"/>
            <w:color w:val="000000"/>
            <w:sz w:val="24"/>
            <w:szCs w:val="32"/>
          </w:rPr>
          <w:tag w:val="MENDELEY_CITATION_v3_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"/>
          <w:id w:val="-888103843"/>
          <w:placeholder>
            <w:docPart w:val="F34F7BE7574141F8BEE799E60D18EABC"/>
          </w:placeholder>
        </w:sdtPr>
        <w:sdtEndPr>
          <w:rPr>
            <w:rFonts w:ascii="Times New Roman" w:hAnsi="Times New Roman" w:eastAsia="宋体" w:cs="Times New Roman"/>
            <w:color w:val="000000"/>
            <w:sz w:val="24"/>
            <w:szCs w:val="32"/>
          </w:rPr>
        </w:sdtEndPr>
        <w:sdtContent>
          <w:r>
            <w:rPr>
              <w:rFonts w:ascii="Times New Roman" w:hAnsi="Times New Roman" w:eastAsia="宋体" w:cs="Times New Roman"/>
              <w:color w:val="000000"/>
              <w:sz w:val="24"/>
              <w:szCs w:val="32"/>
            </w:rPr>
            <w:t>(Zhang et al., 2022)</w:t>
          </w:r>
        </w:sdtContent>
      </w:sdt>
      <w:r>
        <w:rPr>
          <w:rFonts w:ascii="Times New Roman" w:hAnsi="Times New Roman" w:eastAsia="宋体" w:cs="Times New Roman"/>
          <w:sz w:val="24"/>
          <w:szCs w:val="32"/>
        </w:rPr>
        <w:t>.</w:t>
      </w:r>
    </w:p>
    <w:p w14:paraId="519D76E0">
      <w:pPr>
        <w:spacing w:line="480" w:lineRule="auto"/>
        <w:ind w:firstLine="480" w:firstLineChars="200"/>
        <w:jc w:val="left"/>
        <w:rPr>
          <w:rFonts w:ascii="Times New Roman" w:hAnsi="Times New Roman" w:eastAsia="宋体" w:cs="Times New Roman"/>
          <w:sz w:val="24"/>
          <w:szCs w:val="32"/>
        </w:rPr>
      </w:pPr>
      <w:r>
        <w:rPr>
          <w:rFonts w:ascii="Times New Roman" w:hAnsi="Times New Roman" w:eastAsia="宋体" w:cs="Times New Roman"/>
          <w:sz w:val="24"/>
          <w:szCs w:val="32"/>
        </w:rPr>
        <w:t>Raw paired-end reads underwent quality control and trimming utilizing fastp (v0.23.0). De novo assembly of the filtered reads was executed using MEGAHIT (v1.1.2). Contigs were binned into metagenome-assembled genomes (MAGs) employing MetaBAT2 (v2.12.1) with default parameters. The quality of the MAGs was evaluated using CheckM2 (v2.0.1), retaining only high-quality MAGs with completeness &gt;90% and contamination &lt;5% for subsequent analysis.</w:t>
      </w:r>
    </w:p>
    <w:p w14:paraId="20E65EF2">
      <w:pPr>
        <w:spacing w:line="480" w:lineRule="auto"/>
        <w:ind w:firstLine="480" w:firstLineChars="200"/>
        <w:jc w:val="left"/>
        <w:rPr>
          <w:rFonts w:ascii="Times New Roman" w:hAnsi="Times New Roman" w:eastAsia="宋体" w:cs="Times New Roman"/>
          <w:sz w:val="24"/>
          <w:szCs w:val="32"/>
        </w:rPr>
      </w:pPr>
      <w:r>
        <w:rPr>
          <w:rFonts w:ascii="Times New Roman" w:hAnsi="Times New Roman" w:eastAsia="宋体" w:cs="Times New Roman"/>
          <w:sz w:val="24"/>
          <w:szCs w:val="32"/>
        </w:rPr>
        <w:t>Redundant MAGs were dereplicated with dRep (v3.4.2) using a 99% average nucleotide identity (ANI) threshold, resulting in a non-redundant MAG set. Taxonomic classification of the non-redundant MAGs was conducted with GTDB-Tk (v2.4.1) against the Genome Taxonomy Database (GTDB).</w:t>
      </w:r>
    </w:p>
    <w:p w14:paraId="40D52F26">
      <w:pPr>
        <w:spacing w:line="480" w:lineRule="auto"/>
        <w:ind w:firstLine="480" w:firstLineChars="200"/>
        <w:jc w:val="left"/>
        <w:rPr>
          <w:rFonts w:ascii="Times New Roman" w:hAnsi="Times New Roman" w:eastAsia="宋体" w:cs="Times New Roman"/>
          <w:sz w:val="24"/>
          <w:szCs w:val="32"/>
        </w:rPr>
      </w:pPr>
      <w:r>
        <w:rPr>
          <w:rFonts w:ascii="Times New Roman" w:hAnsi="Times New Roman" w:eastAsia="宋体" w:cs="Times New Roman"/>
          <w:sz w:val="24"/>
          <w:szCs w:val="32"/>
        </w:rPr>
        <w:t>Open reading frames (ORFs) were predicted using Prodigal (v2.6.3), and ribosomal RNA genes were identified with Barrnap (v0.8). To quantify the relative abundance of each MAG, quality-filtered reads from each sample were mapped back to the non-redundant MAG set using Bowtie2. Abundance was calculated as reads per kilobase per million mapped reads (RPKM) and subsequently normalized to the total RPKM values of all MAGs within the same sample to derive the relative abundance. Finally, functional annotation was performed by comparing the predicted gene sequences against the KEGG database using KOBAS 2.0 with an e-value cutoff of 1×10</w:t>
      </w:r>
      <w:r>
        <w:rPr>
          <w:rFonts w:ascii="Times New Roman" w:hAnsi="Times New Roman" w:eastAsia="宋体" w:cs="Times New Roman"/>
          <w:sz w:val="24"/>
          <w:szCs w:val="32"/>
          <w:vertAlign w:val="superscript"/>
        </w:rPr>
        <w:t>-5</w:t>
      </w:r>
      <w:r>
        <w:rPr>
          <w:rFonts w:ascii="Times New Roman" w:hAnsi="Times New Roman" w:eastAsia="宋体" w:cs="Times New Roman"/>
          <w:sz w:val="24"/>
          <w:szCs w:val="32"/>
        </w:rPr>
        <w:t>.</w:t>
      </w:r>
    </w:p>
    <w:bookmarkEnd w:id="2"/>
    <w:p w14:paraId="4D7E9859">
      <w:pPr>
        <w:widowControl/>
        <w:jc w:val="left"/>
        <w:rPr>
          <w:rFonts w:ascii="Times New Roman" w:hAnsi="Times New Roman" w:eastAsia="宋体" w:cs="Times New Roman"/>
          <w:sz w:val="24"/>
          <w:szCs w:val="32"/>
        </w:rPr>
      </w:pPr>
      <w:r>
        <w:rPr>
          <w:rFonts w:ascii="Times New Roman" w:hAnsi="Times New Roman" w:eastAsia="宋体" w:cs="Times New Roman"/>
          <w:sz w:val="24"/>
          <w:szCs w:val="32"/>
        </w:rPr>
        <w:br w:type="page"/>
      </w:r>
    </w:p>
    <w:p w14:paraId="0CA77C7B">
      <w:pPr>
        <w:widowControl/>
        <w:spacing w:line="480" w:lineRule="auto"/>
        <w:jc w:val="left"/>
        <w:rPr>
          <w:rFonts w:ascii="Times New Roman" w:hAnsi="Times New Roman" w:eastAsia="宋体" w:cs="Times New Roman"/>
          <w:b/>
          <w:bCs/>
          <w:sz w:val="24"/>
          <w:szCs w:val="28"/>
        </w:rPr>
      </w:pPr>
      <w:bookmarkStart w:id="3" w:name="OLE_LINK28"/>
      <w:r>
        <w:rPr>
          <w:rFonts w:ascii="Times New Roman" w:hAnsi="Times New Roman" w:eastAsia="宋体" w:cs="Times New Roman"/>
          <w:b/>
          <w:bCs/>
          <w:sz w:val="24"/>
          <w:szCs w:val="28"/>
        </w:rPr>
        <w:t>1.6 Metaproteomic analysis</w:t>
      </w:r>
    </w:p>
    <w:p w14:paraId="105F2E9D">
      <w:pPr>
        <w:widowControl/>
        <w:spacing w:line="480" w:lineRule="auto"/>
        <w:ind w:firstLine="480" w:firstLineChars="200"/>
        <w:jc w:val="left"/>
        <w:rPr>
          <w:rFonts w:ascii="Times New Roman" w:hAnsi="Times New Roman" w:eastAsia="宋体" w:cs="Times New Roman"/>
          <w:sz w:val="24"/>
          <w:szCs w:val="28"/>
        </w:rPr>
      </w:pPr>
      <w:r>
        <w:rPr>
          <w:rFonts w:ascii="Times New Roman" w:hAnsi="Times New Roman" w:eastAsia="宋体" w:cs="Times New Roman"/>
          <w:sz w:val="24"/>
          <w:szCs w:val="28"/>
        </w:rPr>
        <w:t xml:space="preserve">The sludge samples utilized for metaproteomic analysis were identical to those described for metagenomics in Section 1.5, specifically the CK and MG samples collected at the end of Phases II and IV. Total proteins were extracted using a phenol-ammonium acetate/methanol precipitation protocol. The protein concentration was determined via the bicinchoninic acid (BCA) assay, while integrity was assessed through SDS-PAGE. Equal quantities of protein were reduced, alkylated, precipitated with acetone, and subsequently digested with trypsin at 37 </w:t>
      </w:r>
      <w:r>
        <w:rPr>
          <w:rFonts w:ascii="Times New Roman" w:hAnsi="Times New Roman" w:cs="Times New Roman"/>
          <w:sz w:val="24"/>
          <w:szCs w:val="28"/>
        </w:rPr>
        <w:t>°C</w:t>
      </w:r>
      <w:r>
        <w:rPr>
          <w:rFonts w:ascii="Times New Roman" w:hAnsi="Times New Roman" w:eastAsia="宋体" w:cs="Times New Roman"/>
          <w:sz w:val="24"/>
          <w:szCs w:val="28"/>
        </w:rPr>
        <w:t xml:space="preserve"> overnight. The resulting peptides were desalted using HLB solid-phase extraction cartridges and lyophilized. Peptides were separated online utilizing an EASY-nLC 1200 nanoflow LC system (Thermo Fisher Scientific) and analyzed on a Q Exactive HF-X mass spectrometer (Thermo Fisher Scientific), operated in data-dependent acquisition (DDA) mode, with peptide fragmentation achieved through higher-energy collisional dissociation (HCD). Raw mass spectrometry data were processed for protein identification using Proteome Discoverer software. The search database was constructed by translating the coding sequences predicted from the matched metagenomic assemblies (as detailed in Section 1.5) into amino acid sequences, thereby enabling sample-specific protein identification and supporting subsequent functional assignment and host MAG tracing.</w:t>
      </w:r>
    </w:p>
    <w:bookmarkEnd w:id="3"/>
    <w:p w14:paraId="2E8BEBCB">
      <w:pPr>
        <w:widowControl/>
        <w:spacing w:line="480" w:lineRule="auto"/>
        <w:ind w:firstLine="480" w:firstLineChars="200"/>
        <w:jc w:val="left"/>
        <w:rPr>
          <w:rFonts w:ascii="Times New Roman" w:hAnsi="Times New Roman" w:eastAsia="宋体" w:cs="Times New Roman"/>
          <w:sz w:val="24"/>
          <w:szCs w:val="28"/>
        </w:rPr>
      </w:pPr>
      <w:r>
        <w:rPr>
          <w:rFonts w:ascii="Times New Roman" w:hAnsi="Times New Roman" w:eastAsia="宋体" w:cs="Times New Roman"/>
          <w:sz w:val="24"/>
          <w:szCs w:val="32"/>
        </w:rPr>
        <w:br w:type="page"/>
      </w:r>
    </w:p>
    <w:bookmarkEnd w:id="0"/>
    <w:p w14:paraId="48E18B69">
      <w:pPr>
        <w:spacing w:line="437" w:lineRule="auto"/>
        <w:jc w:val="left"/>
        <w:rPr>
          <w:rFonts w:ascii="Times New Roman" w:hAnsi="Times New Roman" w:eastAsia="宋体" w:cs="Times New Roman"/>
          <w:b/>
          <w:bCs/>
          <w:color w:val="000000"/>
          <w:kern w:val="0"/>
          <w:sz w:val="24"/>
          <w:szCs w:val="24"/>
        </w:rPr>
      </w:pPr>
      <w:r>
        <w:rPr>
          <w:rFonts w:ascii="Times New Roman" w:hAnsi="Times New Roman" w:eastAsia="宋体" w:cs="Times New Roman"/>
          <w:b/>
          <w:bCs/>
          <w:color w:val="000000"/>
          <w:kern w:val="0"/>
          <w:sz w:val="24"/>
          <w:szCs w:val="24"/>
        </w:rPr>
        <w:t>1.7 Computational fluid dynamics simulation</w:t>
      </w:r>
    </w:p>
    <w:p w14:paraId="0FAE0B9F">
      <w:pPr>
        <w:spacing w:line="437" w:lineRule="auto"/>
        <w:ind w:firstLine="480" w:firstLineChars="200"/>
        <w:jc w:val="left"/>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Three-dimensional transient computational fluid dynamics (CFD) simulations were conducted to quantify the oxygen mass transfer and mixing characteristics within the reactor under micro-aeration conditions. The simulation utilized a 1:1 geometric model of the actual experimental setup (serum bottle), where the main reactor had a diameter of 85 mm and a height of 100 mm. A cylindrical fine-pore diffuser, measuring 20 mm in both diameter and height, was positioned at the bottom to serve as the gas distributor.</w:t>
      </w:r>
    </w:p>
    <w:p w14:paraId="23008963">
      <w:pPr>
        <w:spacing w:line="437" w:lineRule="auto"/>
        <w:ind w:firstLine="480" w:firstLineChars="200"/>
        <w:jc w:val="left"/>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The computational domain was discretized using an unstructured tetrahedral mesh. The Eulerian-Eulerian multiphase model was employed to describe the two-phase flow of gas (oxygen) and liquid (digestate). The liquid phase (digestate) was characterized as a Newtonian fluid with a density of 998.5 kg m</w:t>
      </w:r>
      <w:r>
        <w:rPr>
          <w:rFonts w:ascii="Times New Roman" w:hAnsi="Times New Roman" w:eastAsia="宋体" w:cs="Times New Roman"/>
          <w:color w:val="000000"/>
          <w:kern w:val="0"/>
          <w:sz w:val="24"/>
          <w:szCs w:val="24"/>
          <w:vertAlign w:val="superscript"/>
        </w:rPr>
        <w:t>-3</w:t>
      </w:r>
      <w:r>
        <w:rPr>
          <w:rFonts w:ascii="Times New Roman" w:hAnsi="Times New Roman" w:eastAsia="宋体" w:cs="Times New Roman"/>
          <w:color w:val="000000"/>
          <w:kern w:val="0"/>
          <w:sz w:val="24"/>
          <w:szCs w:val="24"/>
        </w:rPr>
        <w:t xml:space="preserve"> and a dynamic viscosity of 82 cP. The gas phase entered through the bottom face of the diffuser as a mass-flow inlet, set at 4 × 10</w:t>
      </w:r>
      <w:r>
        <w:rPr>
          <w:rFonts w:ascii="Times New Roman" w:hAnsi="Times New Roman" w:eastAsia="宋体" w:cs="Times New Roman"/>
          <w:color w:val="000000"/>
          <w:kern w:val="0"/>
          <w:sz w:val="24"/>
          <w:szCs w:val="24"/>
          <w:vertAlign w:val="superscript"/>
        </w:rPr>
        <w:t>-6</w:t>
      </w:r>
      <w:r>
        <w:rPr>
          <w:rFonts w:ascii="Times New Roman" w:hAnsi="Times New Roman" w:eastAsia="宋体" w:cs="Times New Roman"/>
          <w:color w:val="000000"/>
          <w:kern w:val="0"/>
          <w:sz w:val="24"/>
          <w:szCs w:val="24"/>
        </w:rPr>
        <w:t xml:space="preserve"> kg s</w:t>
      </w:r>
      <w:r>
        <w:rPr>
          <w:rFonts w:ascii="Times New Roman" w:hAnsi="Times New Roman" w:eastAsia="宋体" w:cs="Times New Roman"/>
          <w:color w:val="000000"/>
          <w:kern w:val="0"/>
          <w:sz w:val="24"/>
          <w:szCs w:val="24"/>
          <w:vertAlign w:val="superscript"/>
        </w:rPr>
        <w:t>-1</w:t>
      </w:r>
      <w:r>
        <w:rPr>
          <w:rFonts w:ascii="Times New Roman" w:hAnsi="Times New Roman" w:eastAsia="宋体" w:cs="Times New Roman"/>
          <w:color w:val="000000"/>
          <w:kern w:val="0"/>
          <w:sz w:val="24"/>
          <w:szCs w:val="24"/>
        </w:rPr>
        <w:t xml:space="preserve">. Turbulence was modeled using the standard </w:t>
      </w:r>
      <w:r>
        <w:rPr>
          <w:rFonts w:ascii="Times New Roman" w:hAnsi="Times New Roman" w:eastAsia="宋体" w:cs="Times New Roman"/>
          <w:i/>
          <w:iCs/>
          <w:color w:val="000000"/>
          <w:kern w:val="0"/>
          <w:sz w:val="24"/>
          <w:szCs w:val="21"/>
        </w:rPr>
        <w:t>κ</w:t>
      </w:r>
      <w:r>
        <w:rPr>
          <w:rFonts w:ascii="Times New Roman" w:hAnsi="Times New Roman" w:eastAsia="宋体" w:cs="Times New Roman"/>
          <w:color w:val="000000"/>
          <w:kern w:val="0"/>
          <w:sz w:val="24"/>
          <w:szCs w:val="21"/>
        </w:rPr>
        <w:t>-</w:t>
      </w:r>
      <w:r>
        <w:rPr>
          <w:rFonts w:ascii="Times New Roman" w:hAnsi="Times New Roman" w:eastAsia="宋体" w:cs="Times New Roman"/>
          <w:i/>
          <w:iCs/>
          <w:color w:val="000000"/>
          <w:kern w:val="0"/>
          <w:sz w:val="24"/>
          <w:szCs w:val="21"/>
        </w:rPr>
        <w:t>ε</w:t>
      </w:r>
      <w:r>
        <w:rPr>
          <w:rFonts w:ascii="Times New Roman" w:hAnsi="Times New Roman" w:eastAsia="宋体" w:cs="Times New Roman"/>
          <w:color w:val="000000"/>
          <w:kern w:val="0"/>
          <w:sz w:val="24"/>
          <w:szCs w:val="24"/>
        </w:rPr>
        <w:t xml:space="preserve"> model, while the top of the reactor was configured as an outlet to facilitate gas escape. The governing equations were solved transiently using a finite-volume-based solver. Pressure-velocity coupling was managed by the phase-coupled SIMPLE algorithm, and convective terms were discretized employing the second-order upwind scheme. </w:t>
      </w:r>
    </w:p>
    <w:p w14:paraId="66A35E66">
      <w:pPr>
        <w:spacing w:line="437" w:lineRule="auto"/>
        <w:ind w:firstLine="480" w:firstLineChars="200"/>
        <w:jc w:val="left"/>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To quantitatively assess the mixing efficiency of the aeration system, a velocity uniformity index (UI) was calculated. The UI is defined as the volume-weighted average of the absolute difference between the velocity in each mesh cell and the volume-averaged velocity in the reactor. A value closer to 0 indicates a more uniform flow field. The calculation is as follows:</w:t>
      </w:r>
    </w:p>
    <w:p w14:paraId="24695B2E">
      <w:pPr>
        <w:spacing w:line="437" w:lineRule="auto"/>
        <w:jc w:val="right"/>
        <w:rPr>
          <w:rFonts w:ascii="Times New Roman" w:hAnsi="Times New Roman" w:eastAsia="宋体" w:cs="Times New Roman"/>
          <w:color w:val="000000"/>
          <w:kern w:val="0"/>
          <w:sz w:val="24"/>
          <w:szCs w:val="21"/>
        </w:rPr>
      </w:pPr>
      <w:r>
        <w:rPr>
          <w:rFonts w:ascii="Times New Roman" w:hAnsi="Times New Roman" w:eastAsia="宋体" w:cs="Times New Roman"/>
          <w:position w:val="-60"/>
        </w:rPr>
        <w:object>
          <v:shape id="_x0000_i1025" o:spt="75" type="#_x0000_t75" style="height:57.45pt;width:81.55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r>
        <w:rPr>
          <w:rFonts w:ascii="Times New Roman" w:hAnsi="Times New Roman" w:eastAsia="宋体" w:cs="Times New Roman"/>
        </w:rPr>
        <w:t xml:space="preserve">                                (1)</w:t>
      </w:r>
    </w:p>
    <w:p w14:paraId="78DBAB4E">
      <w:pPr>
        <w:spacing w:line="437" w:lineRule="auto"/>
        <w:ind w:firstLine="480" w:firstLineChars="200"/>
        <w:jc w:val="left"/>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 xml:space="preserve">where </w:t>
      </w:r>
      <w:r>
        <w:rPr>
          <w:rFonts w:ascii="Times New Roman" w:hAnsi="Times New Roman" w:eastAsia="宋体" w:cs="Times New Roman"/>
          <w:i/>
          <w:iCs/>
          <w:color w:val="000000"/>
          <w:kern w:val="0"/>
          <w:sz w:val="24"/>
          <w:szCs w:val="24"/>
        </w:rPr>
        <w:t>n</w:t>
      </w:r>
      <w:r>
        <w:rPr>
          <w:rFonts w:ascii="Times New Roman" w:hAnsi="Times New Roman" w:eastAsia="宋体" w:cs="Times New Roman"/>
          <w:color w:val="000000"/>
          <w:kern w:val="0"/>
          <w:sz w:val="24"/>
          <w:szCs w:val="24"/>
        </w:rPr>
        <w:t xml:space="preserve"> represents the total number of mesh cells; </w:t>
      </w:r>
      <w:r>
        <w:rPr>
          <w:rFonts w:ascii="Times New Roman" w:hAnsi="Times New Roman" w:eastAsia="宋体" w:cs="Times New Roman"/>
          <w:i/>
          <w:sz w:val="24"/>
          <w:szCs w:val="24"/>
        </w:rPr>
        <w:t>v</w:t>
      </w:r>
      <w:r>
        <w:rPr>
          <w:rFonts w:ascii="Times New Roman" w:hAnsi="Times New Roman" w:eastAsia="宋体" w:cs="Times New Roman"/>
          <w:i/>
          <w:sz w:val="24"/>
          <w:szCs w:val="24"/>
          <w:vertAlign w:val="subscript"/>
        </w:rPr>
        <w:t>i</w:t>
      </w:r>
      <w:r>
        <w:rPr>
          <w:rFonts w:ascii="Times New Roman" w:hAnsi="Times New Roman" w:eastAsia="宋体" w:cs="Times New Roman"/>
          <w:i/>
          <w:sz w:val="24"/>
          <w:szCs w:val="24"/>
        </w:rPr>
        <w:t xml:space="preserve"> </w:t>
      </w:r>
      <w:r>
        <w:rPr>
          <w:rFonts w:ascii="Times New Roman" w:hAnsi="Times New Roman" w:eastAsia="宋体" w:cs="Times New Roman"/>
          <w:color w:val="000000"/>
          <w:kern w:val="0"/>
          <w:sz w:val="24"/>
          <w:szCs w:val="24"/>
        </w:rPr>
        <w:t xml:space="preserve">denotes the velocity magnitude in cell </w:t>
      </w:r>
      <w:r>
        <w:rPr>
          <w:rFonts w:ascii="Times New Roman" w:hAnsi="Times New Roman" w:eastAsia="宋体" w:cs="Times New Roman"/>
          <w:i/>
          <w:iCs/>
          <w:color w:val="000000"/>
          <w:kern w:val="0"/>
          <w:sz w:val="24"/>
          <w:szCs w:val="24"/>
        </w:rPr>
        <w:t>i</w:t>
      </w:r>
      <w:r>
        <w:rPr>
          <w:rFonts w:ascii="Times New Roman" w:hAnsi="Times New Roman" w:eastAsia="宋体" w:cs="Times New Roman"/>
          <w:color w:val="000000"/>
          <w:kern w:val="0"/>
          <w:sz w:val="24"/>
          <w:szCs w:val="24"/>
        </w:rPr>
        <w:t xml:space="preserve"> (m·s</w:t>
      </w:r>
      <w:r>
        <w:rPr>
          <w:rFonts w:ascii="Times New Roman" w:hAnsi="Times New Roman" w:eastAsia="宋体" w:cs="Times New Roman"/>
          <w:color w:val="000000"/>
          <w:kern w:val="0"/>
          <w:sz w:val="24"/>
          <w:szCs w:val="24"/>
          <w:vertAlign w:val="superscript"/>
        </w:rPr>
        <w:t>-1</w:t>
      </w:r>
      <w:r>
        <w:rPr>
          <w:rFonts w:ascii="Times New Roman" w:hAnsi="Times New Roman" w:eastAsia="宋体" w:cs="Times New Roman"/>
          <w:color w:val="000000"/>
          <w:kern w:val="0"/>
          <w:sz w:val="24"/>
          <w:szCs w:val="24"/>
        </w:rPr>
        <w:t xml:space="preserve">); </w:t>
      </w:r>
      <w:r>
        <w:rPr>
          <w:rFonts w:ascii="Times New Roman" w:hAnsi="Times New Roman" w:eastAsia="宋体" w:cs="Times New Roman"/>
          <w:position w:val="-6"/>
        </w:rPr>
        <w:object>
          <v:shape id="_x0000_i1026" o:spt="75" type="#_x0000_t75" style="height:16.25pt;width:8.75pt;" o:ole="t" filled="f" o:preferrelative="t" stroked="f" coordsize="21600,21600">
            <v:path/>
            <v:fill on="f" focussize="0,0"/>
            <v:stroke on="f" joinstyle="miter"/>
            <v:imagedata r:id="rId8" o:title=""/>
            <o:lock v:ext="edit" aspectratio="t"/>
            <w10:wrap type="none"/>
            <w10:anchorlock/>
          </v:shape>
          <o:OLEObject Type="Embed" ProgID="Equation.DSMT4" ShapeID="_x0000_i1026" DrawAspect="Content" ObjectID="_1468075726" r:id="rId7">
            <o:LockedField>false</o:LockedField>
          </o:OLEObject>
        </w:object>
      </w:r>
      <w:r>
        <w:rPr>
          <w:rFonts w:ascii="Times New Roman" w:hAnsi="Times New Roman" w:eastAsia="宋体" w:cs="Times New Roman"/>
          <w:color w:val="000000"/>
          <w:kern w:val="0"/>
          <w:sz w:val="24"/>
          <w:szCs w:val="24"/>
        </w:rPr>
        <w:t xml:space="preserve"> is the volume-averaged velocity within the reactor (m·s</w:t>
      </w:r>
      <w:r>
        <w:rPr>
          <w:rFonts w:ascii="Times New Roman" w:hAnsi="Times New Roman" w:eastAsia="宋体" w:cs="Times New Roman"/>
          <w:color w:val="000000"/>
          <w:kern w:val="0"/>
          <w:sz w:val="24"/>
          <w:szCs w:val="24"/>
          <w:vertAlign w:val="superscript"/>
        </w:rPr>
        <w:t>-1</w:t>
      </w:r>
      <w:r>
        <w:rPr>
          <w:rFonts w:ascii="Times New Roman" w:hAnsi="Times New Roman" w:eastAsia="宋体" w:cs="Times New Roman"/>
          <w:color w:val="000000"/>
          <w:kern w:val="0"/>
          <w:sz w:val="24"/>
          <w:szCs w:val="24"/>
        </w:rPr>
        <w:t xml:space="preserve">); and </w:t>
      </w:r>
      <w:r>
        <w:rPr>
          <w:rFonts w:ascii="Times New Roman" w:hAnsi="Times New Roman" w:eastAsia="宋体" w:cs="Times New Roman"/>
          <w:i/>
          <w:iCs/>
          <w:color w:val="000000"/>
          <w:kern w:val="0"/>
          <w:sz w:val="24"/>
          <w:szCs w:val="21"/>
        </w:rPr>
        <w:t>V</w:t>
      </w:r>
      <w:r>
        <w:rPr>
          <w:rFonts w:ascii="Times New Roman" w:hAnsi="Times New Roman" w:eastAsia="宋体" w:cs="Times New Roman"/>
          <w:i/>
          <w:iCs/>
          <w:color w:val="000000"/>
          <w:kern w:val="0"/>
          <w:sz w:val="24"/>
          <w:szCs w:val="21"/>
          <w:vertAlign w:val="subscript"/>
        </w:rPr>
        <w:t>i</w:t>
      </w:r>
      <w:r>
        <w:rPr>
          <w:rFonts w:ascii="Times New Roman" w:hAnsi="Times New Roman" w:eastAsia="宋体" w:cs="Times New Roman"/>
          <w:color w:val="000000"/>
          <w:kern w:val="0"/>
          <w:sz w:val="24"/>
          <w:szCs w:val="24"/>
        </w:rPr>
        <w:t xml:space="preserve"> represents the volume of cell </w:t>
      </w:r>
      <w:r>
        <w:rPr>
          <w:rFonts w:ascii="Times New Roman" w:hAnsi="Times New Roman" w:eastAsia="宋体" w:cs="Times New Roman"/>
          <w:i/>
          <w:iCs/>
          <w:color w:val="000000"/>
          <w:kern w:val="0"/>
          <w:sz w:val="24"/>
          <w:szCs w:val="24"/>
        </w:rPr>
        <w:t>i</w:t>
      </w:r>
      <w:r>
        <w:rPr>
          <w:rFonts w:ascii="Times New Roman" w:hAnsi="Times New Roman" w:eastAsia="宋体" w:cs="Times New Roman"/>
          <w:color w:val="000000"/>
          <w:kern w:val="0"/>
          <w:sz w:val="24"/>
          <w:szCs w:val="24"/>
        </w:rPr>
        <w:t xml:space="preserve"> (</w:t>
      </w:r>
      <w:r>
        <w:rPr>
          <w:rFonts w:ascii="Times New Roman" w:hAnsi="Times New Roman" w:eastAsia="宋体" w:cs="Times New Roman"/>
          <w:color w:val="000000"/>
          <w:kern w:val="0"/>
          <w:sz w:val="24"/>
          <w:szCs w:val="21"/>
        </w:rPr>
        <w:t>m</w:t>
      </w:r>
      <w:r>
        <w:rPr>
          <w:rFonts w:ascii="Times New Roman" w:hAnsi="Times New Roman" w:eastAsia="宋体" w:cs="Times New Roman"/>
          <w:color w:val="000000"/>
          <w:kern w:val="0"/>
          <w:sz w:val="24"/>
          <w:szCs w:val="21"/>
          <w:vertAlign w:val="superscript"/>
        </w:rPr>
        <w:t>3</w:t>
      </w:r>
      <w:r>
        <w:rPr>
          <w:rFonts w:ascii="Times New Roman" w:hAnsi="Times New Roman" w:eastAsia="宋体" w:cs="Times New Roman"/>
          <w:color w:val="000000"/>
          <w:kern w:val="0"/>
          <w:sz w:val="24"/>
          <w:szCs w:val="24"/>
        </w:rPr>
        <w:t>).</w:t>
      </w:r>
      <w:r>
        <w:rPr>
          <w:rFonts w:ascii="Times New Roman" w:hAnsi="Times New Roman" w:eastAsia="宋体" w:cs="Times New Roman"/>
          <w:color w:val="000000"/>
          <w:kern w:val="0"/>
          <w:sz w:val="24"/>
          <w:szCs w:val="21"/>
        </w:rPr>
        <w:br w:type="page"/>
      </w:r>
    </w:p>
    <w:p w14:paraId="1E47C700">
      <w:pPr>
        <w:widowControl/>
        <w:spacing w:line="480" w:lineRule="auto"/>
        <w:jc w:val="left"/>
        <w:rPr>
          <w:rFonts w:ascii="Times New Roman" w:hAnsi="Times New Roman" w:eastAsia="宋体" w:cs="Times New Roman"/>
          <w:b/>
          <w:bCs/>
          <w:sz w:val="24"/>
          <w:szCs w:val="28"/>
        </w:rPr>
      </w:pPr>
      <w:r>
        <w:rPr>
          <w:rFonts w:ascii="Times New Roman" w:hAnsi="Times New Roman" w:eastAsia="宋体" w:cs="Times New Roman"/>
          <w:b/>
          <w:bCs/>
          <w:sz w:val="24"/>
          <w:szCs w:val="28"/>
        </w:rPr>
        <w:t>1.8 Kinetic analysis</w:t>
      </w:r>
    </w:p>
    <w:p w14:paraId="42AA019F">
      <w:pPr>
        <w:spacing w:line="480" w:lineRule="auto"/>
        <w:ind w:firstLine="480" w:firstLineChars="200"/>
        <w:jc w:val="left"/>
        <w:rPr>
          <w:rFonts w:ascii="Times New Roman" w:hAnsi="Times New Roman" w:eastAsia="宋体" w:cs="Times New Roman"/>
          <w:sz w:val="24"/>
          <w:szCs w:val="28"/>
        </w:rPr>
      </w:pPr>
      <w:r>
        <w:rPr>
          <w:rFonts w:ascii="Times New Roman" w:hAnsi="Times New Roman" w:eastAsia="宋体" w:cs="Times New Roman"/>
          <w:sz w:val="24"/>
          <w:szCs w:val="28"/>
        </w:rPr>
        <w:t>The kinetics of ammonia-nitrogen removal in the MG group were analyzed by fitting the experimental data to both first-order and second-order kinetic models, as presented in Equations (2) and (3).</w:t>
      </w:r>
    </w:p>
    <w:p w14:paraId="0F0D1A90">
      <w:pPr>
        <w:spacing w:line="480" w:lineRule="auto"/>
        <w:ind w:firstLine="480" w:firstLineChars="200"/>
        <w:jc w:val="right"/>
        <w:rPr>
          <w:rFonts w:ascii="Times New Roman" w:hAnsi="Times New Roman" w:eastAsia="宋体" w:cs="Times New Roman"/>
          <w:sz w:val="24"/>
          <w:szCs w:val="28"/>
        </w:rPr>
      </w:pPr>
      <w:r>
        <w:rPr>
          <w:rFonts w:ascii="Times New Roman" w:hAnsi="Times New Roman" w:eastAsia="宋体" w:cs="Times New Roman"/>
          <w:sz w:val="24"/>
          <w:szCs w:val="28"/>
        </w:rPr>
        <w:t>First-order kinetic model             [</w:t>
      </w:r>
      <w:r>
        <w:rPr>
          <w:rFonts w:ascii="Times New Roman" w:hAnsi="Times New Roman" w:eastAsia="宋体" w:cs="Times New Roman"/>
          <w:i/>
          <w:iCs/>
          <w:sz w:val="24"/>
          <w:szCs w:val="28"/>
        </w:rPr>
        <w:t>S</w:t>
      </w:r>
      <w:r>
        <w:rPr>
          <w:rFonts w:ascii="Times New Roman" w:hAnsi="Times New Roman" w:eastAsia="宋体" w:cs="Times New Roman"/>
          <w:sz w:val="24"/>
          <w:szCs w:val="28"/>
        </w:rPr>
        <w:t>] = [</w:t>
      </w:r>
      <w:r>
        <w:rPr>
          <w:rFonts w:ascii="Times New Roman" w:hAnsi="Times New Roman" w:eastAsia="宋体" w:cs="Times New Roman"/>
          <w:i/>
          <w:iCs/>
          <w:sz w:val="24"/>
          <w:szCs w:val="28"/>
        </w:rPr>
        <w:t>S</w:t>
      </w:r>
      <w:r>
        <w:rPr>
          <w:rFonts w:ascii="Times New Roman" w:hAnsi="Times New Roman" w:eastAsia="宋体" w:cs="Times New Roman"/>
          <w:sz w:val="24"/>
          <w:szCs w:val="28"/>
        </w:rPr>
        <w:t>₀] · e</w:t>
      </w:r>
      <w:r>
        <w:rPr>
          <w:rFonts w:ascii="Times New Roman" w:hAnsi="Times New Roman" w:eastAsia="宋体" w:cs="Times New Roman"/>
          <w:sz w:val="24"/>
          <w:szCs w:val="28"/>
          <w:vertAlign w:val="superscript"/>
        </w:rPr>
        <w:t>-</w:t>
      </w:r>
      <w:r>
        <w:rPr>
          <w:rFonts w:ascii="Times New Roman" w:hAnsi="Times New Roman" w:eastAsia="宋体" w:cs="Times New Roman"/>
          <w:i/>
          <w:iCs/>
          <w:sz w:val="24"/>
          <w:szCs w:val="28"/>
          <w:vertAlign w:val="superscript"/>
        </w:rPr>
        <w:t>k</w:t>
      </w:r>
      <w:r>
        <w:rPr>
          <w:rFonts w:ascii="Times New Roman" w:hAnsi="Times New Roman" w:eastAsia="宋体" w:cs="Times New Roman"/>
          <w:sz w:val="24"/>
          <w:szCs w:val="28"/>
          <w:vertAlign w:val="superscript"/>
        </w:rPr>
        <w:t>'·</w:t>
      </w:r>
      <w:r>
        <w:rPr>
          <w:rFonts w:ascii="Times New Roman" w:hAnsi="Times New Roman" w:eastAsia="宋体" w:cs="Times New Roman"/>
          <w:i/>
          <w:iCs/>
          <w:sz w:val="24"/>
          <w:szCs w:val="28"/>
          <w:vertAlign w:val="superscript"/>
        </w:rPr>
        <w:t>t</w:t>
      </w:r>
      <w:r>
        <w:rPr>
          <w:rFonts w:ascii="Times New Roman" w:hAnsi="Times New Roman" w:eastAsia="宋体" w:cs="Times New Roman"/>
          <w:sz w:val="24"/>
          <w:szCs w:val="28"/>
        </w:rPr>
        <w:t xml:space="preserve">                        </w:t>
      </w:r>
      <w:r>
        <w:rPr>
          <w:rFonts w:ascii="Times New Roman" w:hAnsi="Times New Roman" w:eastAsia="宋体" w:cs="Times New Roman"/>
          <w:color w:val="000000"/>
          <w:kern w:val="0"/>
          <w:sz w:val="24"/>
          <w:szCs w:val="21"/>
        </w:rPr>
        <w:t xml:space="preserve"> (2)</w:t>
      </w:r>
    </w:p>
    <w:p w14:paraId="04C0CC13">
      <w:pPr>
        <w:spacing w:line="480" w:lineRule="auto"/>
        <w:ind w:firstLine="480" w:firstLineChars="200"/>
        <w:jc w:val="right"/>
        <w:rPr>
          <w:rFonts w:ascii="Times New Roman" w:hAnsi="Times New Roman" w:eastAsia="宋体" w:cs="Times New Roman"/>
          <w:sz w:val="24"/>
          <w:szCs w:val="28"/>
        </w:rPr>
      </w:pPr>
      <w:r>
        <w:rPr>
          <w:rFonts w:ascii="Times New Roman" w:hAnsi="Times New Roman" w:eastAsia="宋体" w:cs="Times New Roman"/>
          <w:sz w:val="24"/>
          <w:szCs w:val="28"/>
        </w:rPr>
        <w:t>Second-order kinetic model         1/[</w:t>
      </w:r>
      <w:r>
        <w:rPr>
          <w:rFonts w:ascii="Times New Roman" w:hAnsi="Times New Roman" w:eastAsia="宋体" w:cs="Times New Roman"/>
          <w:i/>
          <w:iCs/>
          <w:sz w:val="24"/>
          <w:szCs w:val="28"/>
        </w:rPr>
        <w:t>S</w:t>
      </w:r>
      <w:r>
        <w:rPr>
          <w:rFonts w:ascii="Times New Roman" w:hAnsi="Times New Roman" w:eastAsia="宋体" w:cs="Times New Roman"/>
          <w:sz w:val="24"/>
          <w:szCs w:val="28"/>
        </w:rPr>
        <w:t>] = 1/[</w:t>
      </w:r>
      <w:r>
        <w:rPr>
          <w:rFonts w:ascii="Times New Roman" w:hAnsi="Times New Roman" w:eastAsia="宋体" w:cs="Times New Roman"/>
          <w:i/>
          <w:iCs/>
          <w:sz w:val="24"/>
          <w:szCs w:val="28"/>
        </w:rPr>
        <w:t>S</w:t>
      </w:r>
      <w:r>
        <w:rPr>
          <w:rFonts w:ascii="Times New Roman" w:hAnsi="Times New Roman" w:eastAsia="宋体" w:cs="Times New Roman"/>
          <w:sz w:val="24"/>
          <w:szCs w:val="28"/>
        </w:rPr>
        <w:t xml:space="preserve">₀] + </w:t>
      </w:r>
      <w:r>
        <w:rPr>
          <w:rFonts w:ascii="Times New Roman" w:hAnsi="Times New Roman" w:eastAsia="宋体" w:cs="Times New Roman"/>
          <w:i/>
          <w:iCs/>
          <w:sz w:val="24"/>
          <w:szCs w:val="28"/>
        </w:rPr>
        <w:t>k</w:t>
      </w:r>
      <w:r>
        <w:rPr>
          <w:rFonts w:ascii="Times New Roman" w:hAnsi="Times New Roman" w:eastAsia="宋体" w:cs="Times New Roman"/>
          <w:sz w:val="24"/>
          <w:szCs w:val="28"/>
        </w:rPr>
        <w:t>·</w:t>
      </w:r>
      <w:r>
        <w:rPr>
          <w:rFonts w:ascii="Times New Roman" w:hAnsi="Times New Roman" w:eastAsia="宋体" w:cs="Times New Roman"/>
          <w:i/>
          <w:iCs/>
          <w:sz w:val="24"/>
          <w:szCs w:val="28"/>
        </w:rPr>
        <w:t>t</w:t>
      </w:r>
      <w:r>
        <w:rPr>
          <w:rFonts w:ascii="Times New Roman" w:hAnsi="Times New Roman" w:eastAsia="宋体" w:cs="Times New Roman"/>
          <w:sz w:val="24"/>
          <w:szCs w:val="28"/>
        </w:rPr>
        <w:t xml:space="preserve">                       </w:t>
      </w:r>
      <w:r>
        <w:rPr>
          <w:rFonts w:ascii="Times New Roman" w:hAnsi="Times New Roman" w:eastAsia="宋体" w:cs="Times New Roman"/>
          <w:color w:val="000000"/>
          <w:kern w:val="0"/>
          <w:sz w:val="24"/>
          <w:szCs w:val="21"/>
        </w:rPr>
        <w:t xml:space="preserve"> (3)</w:t>
      </w:r>
    </w:p>
    <w:p w14:paraId="7361AC7F">
      <w:pPr>
        <w:spacing w:line="480" w:lineRule="auto"/>
        <w:ind w:firstLine="480" w:firstLineChars="200"/>
        <w:jc w:val="left"/>
        <w:rPr>
          <w:rFonts w:ascii="Times New Roman" w:hAnsi="Times New Roman" w:eastAsia="宋体" w:cs="Times New Roman"/>
          <w:sz w:val="24"/>
          <w:szCs w:val="28"/>
        </w:rPr>
      </w:pPr>
      <w:r>
        <w:rPr>
          <w:rFonts w:ascii="Times New Roman" w:hAnsi="Times New Roman" w:eastAsia="宋体" w:cs="Times New Roman"/>
          <w:sz w:val="24"/>
          <w:szCs w:val="28"/>
        </w:rPr>
        <w:t>where [</w:t>
      </w:r>
      <w:r>
        <w:rPr>
          <w:rFonts w:ascii="Times New Roman" w:hAnsi="Times New Roman" w:eastAsia="宋体" w:cs="Times New Roman"/>
          <w:i/>
          <w:iCs/>
          <w:sz w:val="24"/>
          <w:szCs w:val="28"/>
        </w:rPr>
        <w:t>S</w:t>
      </w:r>
      <w:r>
        <w:rPr>
          <w:rFonts w:ascii="Times New Roman" w:hAnsi="Times New Roman" w:eastAsia="宋体" w:cs="Times New Roman"/>
          <w:sz w:val="24"/>
          <w:szCs w:val="28"/>
        </w:rPr>
        <w:t xml:space="preserve">] is the TAN concentration at time </w:t>
      </w:r>
      <w:r>
        <w:rPr>
          <w:rFonts w:ascii="Times New Roman" w:hAnsi="Times New Roman" w:eastAsia="宋体" w:cs="Times New Roman"/>
          <w:i/>
          <w:iCs/>
          <w:sz w:val="24"/>
          <w:szCs w:val="28"/>
        </w:rPr>
        <w:t xml:space="preserve">t </w:t>
      </w:r>
      <w:r>
        <w:rPr>
          <w:rFonts w:ascii="Times New Roman" w:hAnsi="Times New Roman" w:eastAsia="宋体" w:cs="Times New Roman"/>
          <w:sz w:val="24"/>
          <w:szCs w:val="28"/>
        </w:rPr>
        <w:t>(mg·L</w:t>
      </w:r>
      <w:r>
        <w:rPr>
          <w:rFonts w:ascii="Times New Roman" w:hAnsi="Times New Roman" w:eastAsia="宋体" w:cs="Times New Roman"/>
          <w:sz w:val="24"/>
          <w:szCs w:val="28"/>
          <w:vertAlign w:val="superscript"/>
        </w:rPr>
        <w:t>-1</w:t>
      </w:r>
      <w:r>
        <w:rPr>
          <w:rFonts w:ascii="Times New Roman" w:hAnsi="Times New Roman" w:eastAsia="宋体" w:cs="Times New Roman"/>
          <w:sz w:val="24"/>
          <w:szCs w:val="28"/>
        </w:rPr>
        <w:t>), [</w:t>
      </w:r>
      <w:r>
        <w:rPr>
          <w:rFonts w:ascii="Times New Roman" w:hAnsi="Times New Roman" w:eastAsia="宋体" w:cs="Times New Roman"/>
          <w:i/>
          <w:iCs/>
          <w:sz w:val="24"/>
          <w:szCs w:val="28"/>
        </w:rPr>
        <w:t>S</w:t>
      </w:r>
      <w:r>
        <w:rPr>
          <w:rFonts w:ascii="Times New Roman" w:hAnsi="Times New Roman" w:eastAsia="宋体" w:cs="Times New Roman"/>
          <w:i/>
          <w:iCs/>
          <w:sz w:val="24"/>
          <w:szCs w:val="28"/>
          <w:vertAlign w:val="subscript"/>
        </w:rPr>
        <w:t>0</w:t>
      </w:r>
      <w:r>
        <w:rPr>
          <w:rFonts w:ascii="Times New Roman" w:hAnsi="Times New Roman" w:eastAsia="宋体" w:cs="Times New Roman"/>
          <w:sz w:val="24"/>
          <w:szCs w:val="28"/>
        </w:rPr>
        <w:t>] is the initial TAN concentration (mg·L</w:t>
      </w:r>
      <w:r>
        <w:rPr>
          <w:rFonts w:ascii="Times New Roman" w:hAnsi="Times New Roman" w:eastAsia="宋体" w:cs="Times New Roman"/>
          <w:sz w:val="24"/>
          <w:szCs w:val="28"/>
          <w:vertAlign w:val="superscript"/>
        </w:rPr>
        <w:t>-1</w:t>
      </w:r>
      <w:r>
        <w:rPr>
          <w:rFonts w:ascii="Times New Roman" w:hAnsi="Times New Roman" w:eastAsia="宋体" w:cs="Times New Roman"/>
          <w:sz w:val="24"/>
          <w:szCs w:val="28"/>
        </w:rPr>
        <w:t xml:space="preserve">), </w:t>
      </w:r>
      <w:r>
        <w:rPr>
          <w:rFonts w:ascii="Times New Roman" w:hAnsi="Times New Roman" w:eastAsia="宋体" w:cs="Times New Roman"/>
          <w:i/>
          <w:iCs/>
          <w:sz w:val="24"/>
          <w:szCs w:val="28"/>
        </w:rPr>
        <w:t>t</w:t>
      </w:r>
      <w:r>
        <w:rPr>
          <w:rFonts w:ascii="Times New Roman" w:hAnsi="Times New Roman" w:eastAsia="宋体" w:cs="Times New Roman"/>
          <w:sz w:val="24"/>
          <w:szCs w:val="28"/>
        </w:rPr>
        <w:t xml:space="preserve"> is the reaction time (day), </w:t>
      </w:r>
      <w:r>
        <w:rPr>
          <w:rFonts w:ascii="Times New Roman" w:hAnsi="Times New Roman" w:eastAsia="宋体" w:cs="Times New Roman"/>
          <w:i/>
          <w:iCs/>
          <w:sz w:val="24"/>
          <w:szCs w:val="28"/>
        </w:rPr>
        <w:t>k'</w:t>
      </w:r>
      <w:r>
        <w:rPr>
          <w:rFonts w:ascii="Times New Roman" w:hAnsi="Times New Roman" w:eastAsia="宋体" w:cs="Times New Roman"/>
          <w:sz w:val="24"/>
          <w:szCs w:val="28"/>
        </w:rPr>
        <w:t xml:space="preserve"> is the first</w:t>
      </w:r>
      <w:r>
        <w:rPr>
          <w:rFonts w:ascii="Times New Roman" w:hAnsi="Times New Roman" w:eastAsia="宋体" w:cs="Times New Roman"/>
          <w:sz w:val="24"/>
          <w:szCs w:val="28"/>
        </w:rPr>
        <w:noBreakHyphen/>
      </w:r>
      <w:r>
        <w:rPr>
          <w:rFonts w:ascii="Times New Roman" w:hAnsi="Times New Roman" w:eastAsia="宋体" w:cs="Times New Roman"/>
          <w:sz w:val="24"/>
          <w:szCs w:val="28"/>
        </w:rPr>
        <w:t>order rate constant (d</w:t>
      </w:r>
      <w:r>
        <w:rPr>
          <w:rFonts w:ascii="Times New Roman" w:hAnsi="Times New Roman" w:eastAsia="宋体" w:cs="Times New Roman"/>
          <w:sz w:val="24"/>
          <w:szCs w:val="28"/>
          <w:vertAlign w:val="superscript"/>
        </w:rPr>
        <w:t>-1</w:t>
      </w:r>
      <w:r>
        <w:rPr>
          <w:rFonts w:ascii="Times New Roman" w:hAnsi="Times New Roman" w:eastAsia="宋体" w:cs="Times New Roman"/>
          <w:sz w:val="24"/>
          <w:szCs w:val="28"/>
        </w:rPr>
        <w:t xml:space="preserve">), and </w:t>
      </w:r>
      <w:r>
        <w:rPr>
          <w:rFonts w:ascii="Times New Roman" w:hAnsi="Times New Roman" w:eastAsia="宋体" w:cs="Times New Roman"/>
          <w:i/>
          <w:iCs/>
          <w:sz w:val="24"/>
          <w:szCs w:val="28"/>
        </w:rPr>
        <w:t>k</w:t>
      </w:r>
      <w:r>
        <w:rPr>
          <w:rFonts w:ascii="Times New Roman" w:hAnsi="Times New Roman" w:eastAsia="宋体" w:cs="Times New Roman"/>
          <w:sz w:val="24"/>
          <w:szCs w:val="28"/>
        </w:rPr>
        <w:t xml:space="preserve"> is the second</w:t>
      </w:r>
      <w:r>
        <w:rPr>
          <w:rFonts w:ascii="Times New Roman" w:hAnsi="Times New Roman" w:eastAsia="宋体" w:cs="Times New Roman"/>
          <w:sz w:val="24"/>
          <w:szCs w:val="28"/>
        </w:rPr>
        <w:noBreakHyphen/>
      </w:r>
      <w:r>
        <w:rPr>
          <w:rFonts w:ascii="Times New Roman" w:hAnsi="Times New Roman" w:eastAsia="宋体" w:cs="Times New Roman"/>
          <w:sz w:val="24"/>
          <w:szCs w:val="28"/>
        </w:rPr>
        <w:t>order rate constant (L·mg</w:t>
      </w:r>
      <w:r>
        <w:rPr>
          <w:rFonts w:ascii="Times New Roman" w:hAnsi="Times New Roman" w:eastAsia="宋体" w:cs="Times New Roman"/>
          <w:sz w:val="24"/>
          <w:szCs w:val="28"/>
          <w:vertAlign w:val="superscript"/>
        </w:rPr>
        <w:t>-1</w:t>
      </w:r>
      <w:r>
        <w:rPr>
          <w:rFonts w:ascii="Times New Roman" w:hAnsi="Times New Roman" w:eastAsia="宋体" w:cs="Times New Roman"/>
          <w:sz w:val="24"/>
          <w:szCs w:val="28"/>
        </w:rPr>
        <w:t>·d</w:t>
      </w:r>
      <w:r>
        <w:rPr>
          <w:rFonts w:ascii="Times New Roman" w:hAnsi="Times New Roman" w:eastAsia="宋体" w:cs="Times New Roman"/>
          <w:sz w:val="24"/>
          <w:szCs w:val="28"/>
          <w:vertAlign w:val="superscript"/>
        </w:rPr>
        <w:t>-1</w:t>
      </w:r>
      <w:r>
        <w:rPr>
          <w:rFonts w:ascii="Times New Roman" w:hAnsi="Times New Roman" w:eastAsia="宋体" w:cs="Times New Roman"/>
          <w:sz w:val="24"/>
          <w:szCs w:val="28"/>
        </w:rPr>
        <w:t>).</w:t>
      </w:r>
      <w:r>
        <w:rPr>
          <w:rFonts w:ascii="Times New Roman" w:hAnsi="Times New Roman" w:eastAsia="宋体" w:cs="Times New Roman"/>
          <w:sz w:val="24"/>
          <w:szCs w:val="32"/>
        </w:rPr>
        <w:br w:type="page"/>
      </w:r>
    </w:p>
    <w:p w14:paraId="05237BCD">
      <w:pPr>
        <w:widowControl/>
        <w:spacing w:line="480" w:lineRule="auto"/>
        <w:jc w:val="left"/>
        <w:rPr>
          <w:rFonts w:ascii="Times New Roman" w:hAnsi="Times New Roman" w:cs="Times New Roman"/>
          <w:b/>
          <w:bCs/>
          <w:sz w:val="24"/>
          <w:szCs w:val="28"/>
        </w:rPr>
      </w:pPr>
      <w:bookmarkStart w:id="4" w:name="OLE_LINK22"/>
      <w:r>
        <w:rPr>
          <w:rFonts w:ascii="Times New Roman" w:hAnsi="Times New Roman" w:cs="Times New Roman"/>
          <w:b/>
          <w:bCs/>
          <w:sz w:val="24"/>
          <w:szCs w:val="28"/>
        </w:rPr>
        <w:t xml:space="preserve">1.9 </w:t>
      </w:r>
      <w:r>
        <w:rPr>
          <w:rFonts w:ascii="Times New Roman" w:hAnsi="Times New Roman" w:cs="Times New Roman"/>
          <w:b/>
          <w:bCs/>
          <w:sz w:val="24"/>
          <w:szCs w:val="28"/>
          <w:vertAlign w:val="superscript"/>
        </w:rPr>
        <w:t>15</w:t>
      </w:r>
      <w:r>
        <w:rPr>
          <w:rFonts w:ascii="Times New Roman" w:hAnsi="Times New Roman" w:cs="Times New Roman"/>
          <w:b/>
          <w:bCs/>
          <w:sz w:val="24"/>
          <w:szCs w:val="28"/>
        </w:rPr>
        <w:t>N mass-balance calculation</w:t>
      </w:r>
    </w:p>
    <w:p w14:paraId="3D511E19">
      <w:pPr>
        <w:spacing w:line="480" w:lineRule="auto"/>
        <w:ind w:firstLine="480" w:firstLineChars="200"/>
        <w:jc w:val="left"/>
        <w:rPr>
          <w:rFonts w:ascii="Times New Roman" w:hAnsi="Times New Roman" w:eastAsia="宋体" w:cs="Times New Roman"/>
          <w:sz w:val="24"/>
          <w:szCs w:val="28"/>
        </w:rPr>
      </w:pPr>
      <w:bookmarkStart w:id="5" w:name="OLE_LINK2"/>
      <w:r>
        <w:rPr>
          <w:rFonts w:ascii="Times New Roman" w:hAnsi="Times New Roman" w:eastAsia="宋体" w:cs="Times New Roman"/>
          <w:sz w:val="24"/>
          <w:szCs w:val="28"/>
        </w:rPr>
        <w:t xml:space="preserve">To quantitatively track the transformation and fate of nitrogen under micro-aeration, a </w:t>
      </w:r>
      <w:r>
        <w:rPr>
          <w:rFonts w:ascii="Times New Roman" w:hAnsi="Times New Roman" w:eastAsia="宋体" w:cs="Times New Roman"/>
          <w:sz w:val="24"/>
          <w:szCs w:val="28"/>
          <w:vertAlign w:val="superscript"/>
        </w:rPr>
        <w:t>15</w:t>
      </w:r>
      <w:r>
        <w:rPr>
          <w:rFonts w:ascii="Times New Roman" w:hAnsi="Times New Roman" w:eastAsia="宋体" w:cs="Times New Roman"/>
          <w:sz w:val="24"/>
          <w:szCs w:val="28"/>
        </w:rPr>
        <w:t xml:space="preserve">N mass-balance calculation was performed based on the measured concentrations and </w:t>
      </w:r>
      <w:r>
        <w:rPr>
          <w:rFonts w:ascii="Times New Roman" w:hAnsi="Times New Roman" w:eastAsia="宋体" w:cs="Times New Roman"/>
          <w:sz w:val="24"/>
          <w:szCs w:val="28"/>
          <w:vertAlign w:val="superscript"/>
        </w:rPr>
        <w:t>15</w:t>
      </w:r>
      <w:r>
        <w:rPr>
          <w:rFonts w:ascii="Times New Roman" w:hAnsi="Times New Roman" w:eastAsia="宋体" w:cs="Times New Roman"/>
          <w:sz w:val="24"/>
          <w:szCs w:val="28"/>
        </w:rPr>
        <w:t xml:space="preserve">N atom-percent contents of individual nitrogen pools. This calculation aimed to convert concentration data into the absolute mass of </w:t>
      </w:r>
      <w:r>
        <w:rPr>
          <w:rFonts w:ascii="Times New Roman" w:hAnsi="Times New Roman" w:eastAsia="宋体" w:cs="Times New Roman"/>
          <w:sz w:val="24"/>
          <w:szCs w:val="28"/>
          <w:vertAlign w:val="superscript"/>
        </w:rPr>
        <w:t>15</w:t>
      </w:r>
      <w:r>
        <w:rPr>
          <w:rFonts w:ascii="Times New Roman" w:hAnsi="Times New Roman" w:eastAsia="宋体" w:cs="Times New Roman"/>
          <w:sz w:val="24"/>
          <w:szCs w:val="28"/>
        </w:rPr>
        <w:t xml:space="preserve">N in each phase. The mass of </w:t>
      </w:r>
      <w:r>
        <w:rPr>
          <w:rFonts w:ascii="Times New Roman" w:hAnsi="Times New Roman" w:eastAsia="宋体" w:cs="Times New Roman"/>
          <w:sz w:val="24"/>
          <w:szCs w:val="28"/>
          <w:vertAlign w:val="superscript"/>
        </w:rPr>
        <w:t>15</w:t>
      </w:r>
      <w:r>
        <w:rPr>
          <w:rFonts w:ascii="Times New Roman" w:hAnsi="Times New Roman" w:eastAsia="宋体" w:cs="Times New Roman"/>
          <w:sz w:val="24"/>
          <w:szCs w:val="28"/>
        </w:rPr>
        <w:t>N in the liquid-phase inorganic nitrogen pools (NH</w:t>
      </w:r>
      <w:r>
        <w:rPr>
          <w:rFonts w:ascii="Times New Roman" w:hAnsi="Times New Roman" w:eastAsia="宋体" w:cs="Times New Roman"/>
          <w:sz w:val="24"/>
          <w:szCs w:val="28"/>
          <w:vertAlign w:val="subscript"/>
        </w:rPr>
        <w:t>4</w:t>
      </w:r>
      <w:r>
        <w:rPr>
          <w:rFonts w:ascii="Times New Roman" w:hAnsi="Times New Roman" w:eastAsia="宋体" w:cs="Times New Roman"/>
          <w:sz w:val="24"/>
          <w:szCs w:val="28"/>
          <w:vertAlign w:val="superscript"/>
        </w:rPr>
        <w:t>+</w:t>
      </w:r>
      <w:r>
        <w:rPr>
          <w:rFonts w:ascii="Times New Roman" w:hAnsi="Times New Roman" w:eastAsia="宋体" w:cs="Times New Roman"/>
          <w:sz w:val="24"/>
          <w:szCs w:val="28"/>
        </w:rPr>
        <w:t>-N, NO</w:t>
      </w:r>
      <w:r>
        <w:rPr>
          <w:rFonts w:ascii="Times New Roman" w:hAnsi="Times New Roman" w:eastAsia="宋体" w:cs="Times New Roman"/>
          <w:sz w:val="24"/>
          <w:szCs w:val="28"/>
          <w:vertAlign w:val="subscript"/>
        </w:rPr>
        <w:t>3</w:t>
      </w:r>
      <w:r>
        <w:rPr>
          <w:rFonts w:ascii="Times New Roman" w:hAnsi="Times New Roman" w:eastAsia="宋体" w:cs="Times New Roman"/>
          <w:sz w:val="24"/>
          <w:szCs w:val="28"/>
          <w:vertAlign w:val="superscript"/>
        </w:rPr>
        <w:t>-</w:t>
      </w:r>
      <w:r>
        <w:rPr>
          <w:rFonts w:ascii="Times New Roman" w:hAnsi="Times New Roman" w:eastAsia="宋体" w:cs="Times New Roman"/>
          <w:sz w:val="24"/>
          <w:szCs w:val="28"/>
        </w:rPr>
        <w:t>-N, and NO</w:t>
      </w:r>
      <w:r>
        <w:rPr>
          <w:rFonts w:ascii="Times New Roman" w:hAnsi="Times New Roman" w:eastAsia="宋体" w:cs="Times New Roman"/>
          <w:sz w:val="24"/>
          <w:szCs w:val="28"/>
          <w:vertAlign w:val="subscript"/>
        </w:rPr>
        <w:t>2</w:t>
      </w:r>
      <w:r>
        <w:rPr>
          <w:rFonts w:ascii="Times New Roman" w:hAnsi="Times New Roman" w:eastAsia="宋体" w:cs="Times New Roman"/>
          <w:sz w:val="24"/>
          <w:szCs w:val="28"/>
          <w:vertAlign w:val="superscript"/>
        </w:rPr>
        <w:t>-</w:t>
      </w:r>
      <w:r>
        <w:rPr>
          <w:rFonts w:ascii="Times New Roman" w:hAnsi="Times New Roman" w:eastAsia="宋体" w:cs="Times New Roman"/>
          <w:sz w:val="24"/>
          <w:szCs w:val="28"/>
        </w:rPr>
        <w:t xml:space="preserve">-N) was obtained by multiplying the concentration of each nitrogen species by the effective reactor volume on the corresponding sampling day and its </w:t>
      </w:r>
      <w:r>
        <w:rPr>
          <w:rFonts w:ascii="Times New Roman" w:hAnsi="Times New Roman" w:eastAsia="宋体" w:cs="Times New Roman"/>
          <w:sz w:val="24"/>
          <w:szCs w:val="28"/>
          <w:vertAlign w:val="superscript"/>
        </w:rPr>
        <w:t>15</w:t>
      </w:r>
      <w:r>
        <w:rPr>
          <w:rFonts w:ascii="Times New Roman" w:hAnsi="Times New Roman" w:eastAsia="宋体" w:cs="Times New Roman"/>
          <w:sz w:val="24"/>
          <w:szCs w:val="28"/>
        </w:rPr>
        <w:t xml:space="preserve">N atom-percent content. The effective reactor volume decreased slightly due to sampling, measuring 0.40, 0.39, 0.38, and 0.37 L on days 0, 5, 10, and 20, respectively. For the solid phase, the mass of </w:t>
      </w:r>
      <w:r>
        <w:rPr>
          <w:rFonts w:ascii="Times New Roman" w:hAnsi="Times New Roman" w:eastAsia="宋体" w:cs="Times New Roman"/>
          <w:sz w:val="24"/>
          <w:szCs w:val="28"/>
          <w:vertAlign w:val="superscript"/>
        </w:rPr>
        <w:t>15</w:t>
      </w:r>
      <w:r>
        <w:rPr>
          <w:rFonts w:ascii="Times New Roman" w:hAnsi="Times New Roman" w:eastAsia="宋体" w:cs="Times New Roman"/>
          <w:sz w:val="24"/>
          <w:szCs w:val="28"/>
        </w:rPr>
        <w:t xml:space="preserve">N in the sludge organic nitrogen was calculated by multiplying the sludge concentration (determined according to the Chinese industry standard CJ/T 221-2023), the mass fraction of organic nitrogen in the sludge, the effective reactor volume (as previously mentioned), and the </w:t>
      </w:r>
      <w:r>
        <w:rPr>
          <w:rFonts w:ascii="Times New Roman" w:hAnsi="Times New Roman" w:eastAsia="宋体" w:cs="Times New Roman"/>
          <w:sz w:val="24"/>
          <w:szCs w:val="28"/>
          <w:vertAlign w:val="superscript"/>
        </w:rPr>
        <w:t>15</w:t>
      </w:r>
      <w:r>
        <w:rPr>
          <w:rFonts w:ascii="Times New Roman" w:hAnsi="Times New Roman" w:eastAsia="宋体" w:cs="Times New Roman"/>
          <w:sz w:val="24"/>
          <w:szCs w:val="28"/>
        </w:rPr>
        <w:t xml:space="preserve">N atom-percent content of the organic nitrogen. The mass of </w:t>
      </w:r>
      <w:r>
        <w:rPr>
          <w:rFonts w:ascii="Times New Roman" w:hAnsi="Times New Roman" w:eastAsia="宋体" w:cs="Times New Roman"/>
          <w:sz w:val="24"/>
          <w:szCs w:val="28"/>
          <w:vertAlign w:val="superscript"/>
        </w:rPr>
        <w:t>15</w:t>
      </w:r>
      <w:r>
        <w:rPr>
          <w:rFonts w:ascii="Times New Roman" w:hAnsi="Times New Roman" w:eastAsia="宋体" w:cs="Times New Roman"/>
          <w:sz w:val="24"/>
          <w:szCs w:val="28"/>
        </w:rPr>
        <w:t>N in the gaseous nitrogen pools (N</w:t>
      </w:r>
      <w:r>
        <w:rPr>
          <w:rFonts w:ascii="Times New Roman" w:hAnsi="Times New Roman" w:eastAsia="宋体" w:cs="Times New Roman"/>
          <w:sz w:val="24"/>
          <w:szCs w:val="28"/>
          <w:vertAlign w:val="subscript"/>
        </w:rPr>
        <w:t>2</w:t>
      </w:r>
      <w:r>
        <w:rPr>
          <w:rFonts w:ascii="Times New Roman" w:hAnsi="Times New Roman" w:eastAsia="宋体" w:cs="Times New Roman"/>
          <w:sz w:val="24"/>
          <w:szCs w:val="28"/>
        </w:rPr>
        <w:t xml:space="preserve"> and N</w:t>
      </w:r>
      <w:r>
        <w:rPr>
          <w:rFonts w:ascii="Times New Roman" w:hAnsi="Times New Roman" w:eastAsia="宋体" w:cs="Times New Roman"/>
          <w:sz w:val="24"/>
          <w:szCs w:val="28"/>
          <w:vertAlign w:val="subscript"/>
        </w:rPr>
        <w:t>2</w:t>
      </w:r>
      <w:r>
        <w:rPr>
          <w:rFonts w:ascii="Times New Roman" w:hAnsi="Times New Roman" w:eastAsia="宋体" w:cs="Times New Roman"/>
          <w:sz w:val="24"/>
          <w:szCs w:val="28"/>
        </w:rPr>
        <w:t>O) was calculated by multiplying the molar concentration of the gas, the headspace gas volume, the number of nitrogen atoms per molecule (2 for both N</w:t>
      </w:r>
      <w:r>
        <w:rPr>
          <w:rFonts w:ascii="Times New Roman" w:hAnsi="Times New Roman" w:eastAsia="宋体" w:cs="Times New Roman"/>
          <w:sz w:val="24"/>
          <w:szCs w:val="28"/>
          <w:vertAlign w:val="subscript"/>
        </w:rPr>
        <w:t>2</w:t>
      </w:r>
      <w:r>
        <w:rPr>
          <w:rFonts w:ascii="Times New Roman" w:hAnsi="Times New Roman" w:eastAsia="宋体" w:cs="Times New Roman"/>
          <w:sz w:val="24"/>
          <w:szCs w:val="28"/>
        </w:rPr>
        <w:t xml:space="preserve"> and N</w:t>
      </w:r>
      <w:r>
        <w:rPr>
          <w:rFonts w:ascii="Times New Roman" w:hAnsi="Times New Roman" w:eastAsia="宋体" w:cs="Times New Roman"/>
          <w:sz w:val="24"/>
          <w:szCs w:val="28"/>
          <w:vertAlign w:val="subscript"/>
        </w:rPr>
        <w:t>2</w:t>
      </w:r>
      <w:r>
        <w:rPr>
          <w:rFonts w:ascii="Times New Roman" w:hAnsi="Times New Roman" w:eastAsia="宋体" w:cs="Times New Roman"/>
          <w:sz w:val="24"/>
          <w:szCs w:val="28"/>
        </w:rPr>
        <w:t xml:space="preserve">O), the molar mass of </w:t>
      </w:r>
      <w:r>
        <w:rPr>
          <w:rFonts w:ascii="Times New Roman" w:hAnsi="Times New Roman" w:eastAsia="宋体" w:cs="Times New Roman"/>
          <w:sz w:val="24"/>
          <w:szCs w:val="28"/>
          <w:vertAlign w:val="superscript"/>
        </w:rPr>
        <w:t>15</w:t>
      </w:r>
      <w:r>
        <w:rPr>
          <w:rFonts w:ascii="Times New Roman" w:hAnsi="Times New Roman" w:eastAsia="宋体" w:cs="Times New Roman"/>
          <w:sz w:val="24"/>
          <w:szCs w:val="28"/>
        </w:rPr>
        <w:t>N (15 g·mol</w:t>
      </w:r>
      <w:r>
        <w:rPr>
          <w:rFonts w:ascii="Times New Roman" w:hAnsi="Times New Roman" w:eastAsia="宋体" w:cs="Times New Roman"/>
          <w:sz w:val="24"/>
          <w:szCs w:val="28"/>
          <w:vertAlign w:val="superscript"/>
        </w:rPr>
        <w:t>-1</w:t>
      </w:r>
      <w:r>
        <w:rPr>
          <w:rFonts w:ascii="Times New Roman" w:hAnsi="Times New Roman" w:eastAsia="宋体" w:cs="Times New Roman"/>
          <w:sz w:val="24"/>
          <w:szCs w:val="28"/>
        </w:rPr>
        <w:t xml:space="preserve">), and the gas's </w:t>
      </w:r>
      <w:r>
        <w:rPr>
          <w:rFonts w:ascii="Times New Roman" w:hAnsi="Times New Roman" w:eastAsia="宋体" w:cs="Times New Roman"/>
          <w:sz w:val="24"/>
          <w:szCs w:val="28"/>
          <w:vertAlign w:val="superscript"/>
        </w:rPr>
        <w:t>15</w:t>
      </w:r>
      <w:r>
        <w:rPr>
          <w:rFonts w:ascii="Times New Roman" w:hAnsi="Times New Roman" w:eastAsia="宋体" w:cs="Times New Roman"/>
          <w:sz w:val="24"/>
          <w:szCs w:val="28"/>
        </w:rPr>
        <w:t>N atom-percent content.</w:t>
      </w:r>
      <w:bookmarkEnd w:id="4"/>
      <w:bookmarkEnd w:id="5"/>
      <w:r>
        <w:rPr>
          <w:rFonts w:ascii="Times New Roman" w:hAnsi="Times New Roman" w:eastAsia="宋体" w:cs="Times New Roman"/>
          <w:sz w:val="24"/>
          <w:szCs w:val="32"/>
        </w:rPr>
        <w:br w:type="page"/>
      </w:r>
    </w:p>
    <w:p w14:paraId="6C270081">
      <w:pPr>
        <w:pStyle w:val="28"/>
        <w:spacing w:after="0" w:line="480" w:lineRule="auto"/>
        <w:rPr>
          <w:rFonts w:eastAsia="宋体" w:cs="Times New Roman"/>
          <w:bCs/>
          <w:szCs w:val="24"/>
          <w:lang w:eastAsia="zh-CN"/>
        </w:rPr>
      </w:pPr>
      <w:r>
        <w:rPr>
          <w:rFonts w:eastAsia="宋体" w:cs="Times New Roman"/>
          <w:bCs/>
          <w:lang w:eastAsia="zh-CN"/>
        </w:rPr>
        <w:t xml:space="preserve">1.10 </w:t>
      </w:r>
      <w:r>
        <w:rPr>
          <w:rFonts w:eastAsia="宋体" w:cs="Times New Roman"/>
          <w:bCs/>
          <w:szCs w:val="24"/>
          <w:lang w:eastAsia="zh-CN"/>
        </w:rPr>
        <w:t>Quantitative analysis of the apparent methane–nitrogen trade-off</w:t>
      </w:r>
    </w:p>
    <w:p w14:paraId="2F4B500C">
      <w:pPr>
        <w:spacing w:line="480" w:lineRule="auto"/>
        <w:ind w:firstLine="480" w:firstLineChars="200"/>
        <w:rPr>
          <w:rFonts w:ascii="Times New Roman" w:hAnsi="Times New Roman" w:eastAsia="宋体" w:cs="Times New Roman"/>
          <w:sz w:val="24"/>
          <w:szCs w:val="32"/>
        </w:rPr>
      </w:pPr>
      <w:r>
        <w:rPr>
          <w:rFonts w:ascii="Times New Roman" w:hAnsi="Times New Roman" w:eastAsia="宋体" w:cs="Times New Roman"/>
          <w:sz w:val="24"/>
          <w:szCs w:val="32"/>
        </w:rPr>
        <w:t>To estimate the loss of methane production associated with micro-aeration-enhanced TAN removal, an apparent methane–nitrogen trade-off coefficient (Θ) was developed in this study. First, a difference-in-differences approach was used to calculate the additional TAN removal attributable to the micro-aeration group (MG) relative to the control group (CK) during each operational phase:</w:t>
      </w:r>
    </w:p>
    <w:p w14:paraId="774AA782">
      <w:pPr>
        <w:spacing w:line="480" w:lineRule="auto"/>
        <w:jc w:val="right"/>
        <w:rPr>
          <w:rFonts w:ascii="Times New Roman" w:hAnsi="Times New Roman" w:eastAsia="宋体" w:cs="Times New Roman"/>
          <w:szCs w:val="24"/>
        </w:rPr>
      </w:pPr>
      <m:oMath>
        <m:r>
          <m:rPr>
            <m:nor/>
            <m:sty m:val="p"/>
          </m:rPr>
          <w:rPr>
            <w:rFonts w:ascii="Times New Roman" w:hAnsi="Times New Roman" w:eastAsia="宋体" w:cs="Times New Roman"/>
            <w:sz w:val="24"/>
            <w:szCs w:val="32"/>
          </w:rPr>
          <m:t>Δ</m:t>
        </m:r>
        <m:sSub>
          <m:sSubPr>
            <m:ctrlPr>
              <w:rPr>
                <w:rFonts w:ascii="Cambria Math" w:hAnsi="Cambria Math" w:eastAsia="宋体" w:cs="Times New Roman"/>
                <w:sz w:val="24"/>
                <w:szCs w:val="32"/>
              </w:rPr>
            </m:ctrlPr>
          </m:sSubPr>
          <m:e>
            <m:r>
              <m:rPr>
                <m:nor/>
                <m:sty m:val="p"/>
              </m:rPr>
              <w:rPr>
                <w:rFonts w:ascii="Times New Roman" w:hAnsi="Times New Roman" w:eastAsia="宋体" w:cs="Times New Roman"/>
                <w:sz w:val="24"/>
                <w:szCs w:val="32"/>
              </w:rPr>
              <m:t>C</m:t>
            </m:r>
            <m:ctrlPr>
              <w:rPr>
                <w:rFonts w:ascii="Cambria Math" w:hAnsi="Cambria Math" w:eastAsia="宋体" w:cs="Times New Roman"/>
                <w:sz w:val="24"/>
                <w:szCs w:val="32"/>
              </w:rPr>
            </m:ctrlPr>
          </m:e>
          <m:sub>
            <m:r>
              <m:rPr>
                <m:nor/>
                <m:sty m:val="p"/>
              </m:rPr>
              <w:rPr>
                <w:rFonts w:ascii="Times New Roman" w:hAnsi="Times New Roman" w:eastAsia="宋体" w:cs="Times New Roman"/>
                <w:sz w:val="24"/>
                <w:szCs w:val="32"/>
              </w:rPr>
              <m:t>TAN</m:t>
            </m:r>
            <m:ctrlPr>
              <w:rPr>
                <w:rFonts w:ascii="Cambria Math" w:hAnsi="Cambria Math" w:eastAsia="宋体" w:cs="Times New Roman"/>
                <w:sz w:val="24"/>
                <w:szCs w:val="32"/>
              </w:rPr>
            </m:ctrlPr>
          </m:sub>
        </m:sSub>
        <m:r>
          <m:rPr>
            <m:nor/>
            <m:sty m:val="p"/>
          </m:rPr>
          <w:rPr>
            <w:rFonts w:ascii="Times New Roman" w:hAnsi="Times New Roman" w:eastAsia="宋体" w:cs="Times New Roman"/>
            <w:sz w:val="24"/>
            <w:szCs w:val="32"/>
          </w:rPr>
          <m:t xml:space="preserve"> = (</m:t>
        </m:r>
        <m:sSub>
          <m:sSubPr>
            <m:ctrlPr>
              <w:rPr>
                <w:rFonts w:ascii="Cambria Math" w:hAnsi="Cambria Math" w:eastAsia="宋体" w:cs="Times New Roman"/>
                <w:sz w:val="24"/>
                <w:szCs w:val="32"/>
              </w:rPr>
            </m:ctrlPr>
          </m:sSubPr>
          <m:e>
            <m:r>
              <m:rPr>
                <m:nor/>
                <m:sty m:val="p"/>
              </m:rPr>
              <w:rPr>
                <w:rFonts w:ascii="Times New Roman" w:hAnsi="Times New Roman" w:eastAsia="宋体" w:cs="Times New Roman"/>
                <w:sz w:val="24"/>
                <w:szCs w:val="32"/>
              </w:rPr>
              <m:t>C</m:t>
            </m:r>
            <m:ctrlPr>
              <w:rPr>
                <w:rFonts w:ascii="Cambria Math" w:hAnsi="Cambria Math" w:eastAsia="宋体" w:cs="Times New Roman"/>
                <w:sz w:val="24"/>
                <w:szCs w:val="32"/>
              </w:rPr>
            </m:ctrlPr>
          </m:e>
          <m:sub>
            <m:r>
              <m:rPr>
                <m:nor/>
                <m:sty m:val="p"/>
              </m:rPr>
              <w:rPr>
                <w:rFonts w:ascii="Times New Roman" w:hAnsi="Times New Roman" w:eastAsia="宋体" w:cs="Times New Roman"/>
                <w:sz w:val="24"/>
                <w:szCs w:val="32"/>
              </w:rPr>
              <m:t>CK,end</m:t>
            </m:r>
            <m:ctrlPr>
              <w:rPr>
                <w:rFonts w:ascii="Cambria Math" w:hAnsi="Cambria Math" w:eastAsia="宋体" w:cs="Times New Roman"/>
                <w:sz w:val="24"/>
                <w:szCs w:val="32"/>
              </w:rPr>
            </m:ctrlPr>
          </m:sub>
        </m:sSub>
        <m:r>
          <m:rPr>
            <m:nor/>
            <m:sty m:val="p"/>
          </m:rPr>
          <w:rPr>
            <w:rFonts w:ascii="Times New Roman" w:hAnsi="Times New Roman" w:eastAsia="宋体" w:cs="Times New Roman"/>
            <w:sz w:val="24"/>
            <w:szCs w:val="32"/>
          </w:rPr>
          <m:t xml:space="preserve"> - </m:t>
        </m:r>
        <m:sSub>
          <m:sSubPr>
            <m:ctrlPr>
              <w:rPr>
                <w:rFonts w:ascii="Cambria Math" w:hAnsi="Cambria Math" w:eastAsia="宋体" w:cs="Times New Roman"/>
                <w:sz w:val="24"/>
                <w:szCs w:val="32"/>
              </w:rPr>
            </m:ctrlPr>
          </m:sSubPr>
          <m:e>
            <m:r>
              <m:rPr>
                <m:nor/>
                <m:sty m:val="p"/>
              </m:rPr>
              <w:rPr>
                <w:rFonts w:ascii="Times New Roman" w:hAnsi="Times New Roman" w:eastAsia="宋体" w:cs="Times New Roman"/>
                <w:sz w:val="24"/>
                <w:szCs w:val="32"/>
              </w:rPr>
              <m:t>C</m:t>
            </m:r>
            <m:ctrlPr>
              <w:rPr>
                <w:rFonts w:ascii="Cambria Math" w:hAnsi="Cambria Math" w:eastAsia="宋体" w:cs="Times New Roman"/>
                <w:sz w:val="24"/>
                <w:szCs w:val="32"/>
              </w:rPr>
            </m:ctrlPr>
          </m:e>
          <m:sub>
            <m:r>
              <m:rPr>
                <m:nor/>
                <m:sty m:val="p"/>
              </m:rPr>
              <w:rPr>
                <w:rFonts w:ascii="Times New Roman" w:hAnsi="Times New Roman" w:eastAsia="宋体" w:cs="Times New Roman"/>
                <w:sz w:val="24"/>
                <w:szCs w:val="32"/>
              </w:rPr>
              <m:t>MG,end</m:t>
            </m:r>
            <m:ctrlPr>
              <w:rPr>
                <w:rFonts w:ascii="Cambria Math" w:hAnsi="Cambria Math" w:eastAsia="宋体" w:cs="Times New Roman"/>
                <w:sz w:val="24"/>
                <w:szCs w:val="32"/>
              </w:rPr>
            </m:ctrlPr>
          </m:sub>
        </m:sSub>
        <m:r>
          <m:rPr>
            <m:nor/>
            <m:sty m:val="p"/>
          </m:rPr>
          <w:rPr>
            <w:rFonts w:ascii="Times New Roman" w:hAnsi="Times New Roman" w:eastAsia="宋体" w:cs="Times New Roman"/>
            <w:sz w:val="24"/>
            <w:szCs w:val="32"/>
          </w:rPr>
          <m:t>) - (</m:t>
        </m:r>
        <m:sSub>
          <m:sSubPr>
            <m:ctrlPr>
              <w:rPr>
                <w:rFonts w:ascii="Cambria Math" w:hAnsi="Cambria Math" w:eastAsia="宋体" w:cs="Times New Roman"/>
                <w:sz w:val="24"/>
                <w:szCs w:val="32"/>
              </w:rPr>
            </m:ctrlPr>
          </m:sSubPr>
          <m:e>
            <m:r>
              <m:rPr>
                <m:nor/>
                <m:sty m:val="p"/>
              </m:rPr>
              <w:rPr>
                <w:rFonts w:ascii="Times New Roman" w:hAnsi="Times New Roman" w:eastAsia="宋体" w:cs="Times New Roman"/>
                <w:sz w:val="24"/>
                <w:szCs w:val="32"/>
              </w:rPr>
              <m:t>C</m:t>
            </m:r>
            <m:ctrlPr>
              <w:rPr>
                <w:rFonts w:ascii="Cambria Math" w:hAnsi="Cambria Math" w:eastAsia="宋体" w:cs="Times New Roman"/>
                <w:sz w:val="24"/>
                <w:szCs w:val="32"/>
              </w:rPr>
            </m:ctrlPr>
          </m:e>
          <m:sub>
            <m:r>
              <m:rPr>
                <m:nor/>
                <m:sty m:val="p"/>
              </m:rPr>
              <w:rPr>
                <w:rFonts w:ascii="Times New Roman" w:hAnsi="Times New Roman" w:eastAsia="宋体" w:cs="Times New Roman"/>
                <w:sz w:val="24"/>
                <w:szCs w:val="32"/>
              </w:rPr>
              <m:t>CK,start</m:t>
            </m:r>
            <m:ctrlPr>
              <w:rPr>
                <w:rFonts w:ascii="Cambria Math" w:hAnsi="Cambria Math" w:eastAsia="宋体" w:cs="Times New Roman"/>
                <w:sz w:val="24"/>
                <w:szCs w:val="32"/>
              </w:rPr>
            </m:ctrlPr>
          </m:sub>
        </m:sSub>
        <m:r>
          <m:rPr>
            <m:nor/>
            <m:sty m:val="p"/>
          </m:rPr>
          <w:rPr>
            <w:rFonts w:ascii="Times New Roman" w:hAnsi="Times New Roman" w:eastAsia="宋体" w:cs="Times New Roman"/>
            <w:sz w:val="24"/>
            <w:szCs w:val="32"/>
          </w:rPr>
          <m:t xml:space="preserve"> - </m:t>
        </m:r>
        <m:sSub>
          <m:sSubPr>
            <m:ctrlPr>
              <w:rPr>
                <w:rFonts w:ascii="Cambria Math" w:hAnsi="Cambria Math" w:eastAsia="宋体" w:cs="Times New Roman"/>
                <w:sz w:val="24"/>
                <w:szCs w:val="32"/>
              </w:rPr>
            </m:ctrlPr>
          </m:sSubPr>
          <m:e>
            <m:r>
              <m:rPr>
                <m:nor/>
                <m:sty m:val="p"/>
              </m:rPr>
              <w:rPr>
                <w:rFonts w:ascii="Times New Roman" w:hAnsi="Times New Roman" w:eastAsia="宋体" w:cs="Times New Roman"/>
                <w:sz w:val="24"/>
                <w:szCs w:val="32"/>
              </w:rPr>
              <m:t>C</m:t>
            </m:r>
            <m:ctrlPr>
              <w:rPr>
                <w:rFonts w:ascii="Cambria Math" w:hAnsi="Cambria Math" w:eastAsia="宋体" w:cs="Times New Roman"/>
                <w:sz w:val="24"/>
                <w:szCs w:val="32"/>
              </w:rPr>
            </m:ctrlPr>
          </m:e>
          <m:sub>
            <m:r>
              <m:rPr>
                <m:nor/>
                <m:sty m:val="p"/>
              </m:rPr>
              <w:rPr>
                <w:rFonts w:ascii="Times New Roman" w:hAnsi="Times New Roman" w:eastAsia="宋体" w:cs="Times New Roman"/>
                <w:sz w:val="24"/>
                <w:szCs w:val="32"/>
              </w:rPr>
              <m:t>MG,start</m:t>
            </m:r>
            <m:ctrlPr>
              <w:rPr>
                <w:rFonts w:ascii="Cambria Math" w:hAnsi="Cambria Math" w:eastAsia="宋体" w:cs="Times New Roman"/>
                <w:sz w:val="24"/>
                <w:szCs w:val="32"/>
              </w:rPr>
            </m:ctrlPr>
          </m:sub>
        </m:sSub>
        <m:r>
          <m:rPr>
            <m:nor/>
            <m:sty m:val="p"/>
          </m:rPr>
          <w:rPr>
            <w:rFonts w:ascii="Times New Roman" w:hAnsi="Times New Roman" w:eastAsia="宋体" w:cs="Times New Roman"/>
            <w:sz w:val="24"/>
            <w:szCs w:val="32"/>
          </w:rPr>
          <m:t>)</m:t>
        </m:r>
      </m:oMath>
      <w:r>
        <w:rPr>
          <w:rFonts w:ascii="Times New Roman" w:hAnsi="Times New Roman" w:eastAsia="宋体" w:cs="Times New Roman"/>
          <w:sz w:val="24"/>
          <w:szCs w:val="32"/>
        </w:rPr>
        <w:t xml:space="preserve">                 (4)</w:t>
      </w:r>
    </w:p>
    <w:p w14:paraId="1E7EC5B4">
      <w:pPr>
        <w:spacing w:line="480" w:lineRule="auto"/>
        <w:ind w:firstLine="480" w:firstLineChars="200"/>
        <w:rPr>
          <w:rFonts w:ascii="Times New Roman" w:hAnsi="Times New Roman" w:eastAsia="宋体" w:cs="Times New Roman"/>
          <w:sz w:val="24"/>
          <w:szCs w:val="32"/>
        </w:rPr>
      </w:pPr>
      <w:r>
        <w:rPr>
          <w:rFonts w:ascii="Times New Roman" w:hAnsi="Times New Roman" w:eastAsia="宋体" w:cs="Times New Roman"/>
          <w:sz w:val="24"/>
          <w:szCs w:val="32"/>
        </w:rPr>
        <w:t>where C</w:t>
      </w:r>
      <w:r>
        <w:rPr>
          <w:rFonts w:ascii="Times New Roman" w:hAnsi="Times New Roman" w:eastAsia="宋体" w:cs="Times New Roman"/>
          <w:sz w:val="24"/>
          <w:szCs w:val="32"/>
          <w:vertAlign w:val="subscript"/>
        </w:rPr>
        <w:t>CK,start</w:t>
      </w:r>
      <w:r>
        <w:rPr>
          <w:rFonts w:ascii="Times New Roman" w:hAnsi="Times New Roman" w:eastAsia="宋体" w:cs="Times New Roman"/>
          <w:sz w:val="24"/>
          <w:szCs w:val="32"/>
        </w:rPr>
        <w:t xml:space="preserve"> and C</w:t>
      </w:r>
      <w:r>
        <w:rPr>
          <w:rFonts w:ascii="Times New Roman" w:hAnsi="Times New Roman" w:eastAsia="宋体" w:cs="Times New Roman"/>
          <w:sz w:val="24"/>
          <w:szCs w:val="32"/>
          <w:vertAlign w:val="subscript"/>
        </w:rPr>
        <w:t>MG,start</w:t>
      </w:r>
      <w:r>
        <w:rPr>
          <w:rFonts w:ascii="Times New Roman" w:hAnsi="Times New Roman" w:eastAsia="宋体" w:cs="Times New Roman"/>
          <w:sz w:val="24"/>
          <w:szCs w:val="32"/>
        </w:rPr>
        <w:t xml:space="preserve"> are the TAN concentrations (mg L</w:t>
      </w:r>
      <w:r>
        <w:rPr>
          <w:rFonts w:ascii="Times New Roman" w:hAnsi="Times New Roman" w:eastAsia="宋体" w:cs="Times New Roman"/>
          <w:sz w:val="24"/>
          <w:szCs w:val="32"/>
          <w:vertAlign w:val="superscript"/>
        </w:rPr>
        <w:t>-1</w:t>
      </w:r>
      <w:r>
        <w:rPr>
          <w:rFonts w:ascii="Times New Roman" w:hAnsi="Times New Roman" w:eastAsia="宋体" w:cs="Times New Roman"/>
          <w:sz w:val="24"/>
          <w:szCs w:val="32"/>
        </w:rPr>
        <w:t>) in the CK and MG groups, respectively, at the beginning of each phase; C</w:t>
      </w:r>
      <w:r>
        <w:rPr>
          <w:rFonts w:ascii="Times New Roman" w:hAnsi="Times New Roman" w:eastAsia="宋体" w:cs="Times New Roman"/>
          <w:sz w:val="24"/>
          <w:szCs w:val="32"/>
          <w:vertAlign w:val="subscript"/>
        </w:rPr>
        <w:t>CK,end</w:t>
      </w:r>
      <w:r>
        <w:rPr>
          <w:rFonts w:ascii="Times New Roman" w:hAnsi="Times New Roman" w:eastAsia="宋体" w:cs="Times New Roman"/>
          <w:sz w:val="24"/>
          <w:szCs w:val="32"/>
        </w:rPr>
        <w:t xml:space="preserve"> and C</w:t>
      </w:r>
      <w:r>
        <w:rPr>
          <w:rFonts w:ascii="Times New Roman" w:hAnsi="Times New Roman" w:eastAsia="宋体" w:cs="Times New Roman"/>
          <w:sz w:val="24"/>
          <w:szCs w:val="32"/>
          <w:vertAlign w:val="subscript"/>
        </w:rPr>
        <w:t>MG,end</w:t>
      </w:r>
      <w:r>
        <w:rPr>
          <w:rFonts w:ascii="Times New Roman" w:hAnsi="Times New Roman" w:eastAsia="宋体" w:cs="Times New Roman"/>
          <w:sz w:val="24"/>
          <w:szCs w:val="32"/>
        </w:rPr>
        <w:t xml:space="preserve"> are the corresponding TAN concentrations (mg L</w:t>
      </w:r>
      <w:r>
        <w:rPr>
          <w:rFonts w:ascii="Times New Roman" w:hAnsi="Times New Roman" w:eastAsia="宋体" w:cs="Times New Roman"/>
          <w:sz w:val="24"/>
          <w:szCs w:val="32"/>
          <w:vertAlign w:val="superscript"/>
        </w:rPr>
        <w:t>-1</w:t>
      </w:r>
      <w:r>
        <w:rPr>
          <w:rFonts w:ascii="Times New Roman" w:hAnsi="Times New Roman" w:eastAsia="宋体" w:cs="Times New Roman"/>
          <w:sz w:val="24"/>
          <w:szCs w:val="32"/>
        </w:rPr>
        <w:t>) at the end of each phase; and ΔC</w:t>
      </w:r>
      <w:r>
        <w:rPr>
          <w:rFonts w:ascii="Times New Roman" w:hAnsi="Times New Roman" w:eastAsia="宋体" w:cs="Times New Roman"/>
          <w:sz w:val="24"/>
          <w:szCs w:val="32"/>
          <w:vertAlign w:val="subscript"/>
        </w:rPr>
        <w:t>TAN</w:t>
      </w:r>
      <w:r>
        <w:rPr>
          <w:rFonts w:ascii="Times New Roman" w:hAnsi="Times New Roman" w:eastAsia="宋体" w:cs="Times New Roman"/>
          <w:sz w:val="24"/>
          <w:szCs w:val="32"/>
        </w:rPr>
        <w:t xml:space="preserve"> represents the additional TAN removal concentration attributable to micro-aeration relative to the CK group (mg L</w:t>
      </w:r>
      <w:r>
        <w:rPr>
          <w:rFonts w:ascii="Times New Roman" w:hAnsi="Times New Roman" w:eastAsia="宋体" w:cs="Times New Roman"/>
          <w:sz w:val="24"/>
          <w:szCs w:val="32"/>
          <w:vertAlign w:val="superscript"/>
        </w:rPr>
        <w:t>-1</w:t>
      </w:r>
      <w:r>
        <w:rPr>
          <w:rFonts w:ascii="Times New Roman" w:hAnsi="Times New Roman" w:eastAsia="宋体" w:cs="Times New Roman"/>
          <w:sz w:val="24"/>
          <w:szCs w:val="32"/>
        </w:rPr>
        <w:t>).</w:t>
      </w:r>
    </w:p>
    <w:p w14:paraId="29252F80">
      <w:pPr>
        <w:spacing w:line="480" w:lineRule="auto"/>
        <w:ind w:firstLine="480" w:firstLineChars="200"/>
        <w:rPr>
          <w:rFonts w:ascii="Times New Roman" w:hAnsi="Times New Roman" w:eastAsia="宋体" w:cs="Times New Roman"/>
          <w:sz w:val="24"/>
          <w:szCs w:val="32"/>
        </w:rPr>
      </w:pPr>
      <w:r>
        <w:rPr>
          <w:rFonts w:ascii="Times New Roman" w:hAnsi="Times New Roman" w:eastAsia="宋体" w:cs="Times New Roman"/>
          <w:sz w:val="24"/>
          <w:szCs w:val="32"/>
        </w:rPr>
        <w:t>The additional amount of TAN removed by micro-aeration was then calculated based on the reactor working volume:</w:t>
      </w:r>
    </w:p>
    <w:p w14:paraId="129BFA99">
      <w:pPr>
        <w:spacing w:line="480" w:lineRule="auto"/>
        <w:jc w:val="right"/>
        <w:rPr>
          <w:rFonts w:ascii="Times New Roman" w:hAnsi="Times New Roman" w:eastAsia="宋体" w:cs="Times New Roman"/>
          <w:szCs w:val="24"/>
        </w:rPr>
      </w:pPr>
      <m:oMath>
        <m:sSub>
          <m:sSubPr>
            <m:ctrlPr>
              <w:rPr>
                <w:rFonts w:ascii="Cambria Math" w:hAnsi="Cambria Math" w:eastAsia="宋体" w:cs="Times New Roman"/>
                <w:sz w:val="24"/>
                <w:szCs w:val="32"/>
              </w:rPr>
            </m:ctrlPr>
          </m:sSubPr>
          <m:e>
            <m:r>
              <m:rPr>
                <m:nor/>
                <m:sty m:val="p"/>
              </m:rPr>
              <w:rPr>
                <w:rFonts w:ascii="Times New Roman" w:hAnsi="Times New Roman" w:eastAsia="宋体" w:cs="Times New Roman"/>
                <w:sz w:val="24"/>
                <w:szCs w:val="32"/>
              </w:rPr>
              <m:t>N</m:t>
            </m:r>
            <m:ctrlPr>
              <w:rPr>
                <w:rFonts w:ascii="Cambria Math" w:hAnsi="Cambria Math" w:eastAsia="宋体" w:cs="Times New Roman"/>
                <w:sz w:val="24"/>
                <w:szCs w:val="32"/>
              </w:rPr>
            </m:ctrlPr>
          </m:e>
          <m:sub>
            <m:r>
              <m:rPr>
                <m:nor/>
                <m:sty m:val="p"/>
              </m:rPr>
              <w:rPr>
                <w:rFonts w:ascii="Times New Roman" w:hAnsi="Times New Roman" w:eastAsia="宋体" w:cs="Times New Roman"/>
                <w:sz w:val="24"/>
                <w:szCs w:val="32"/>
              </w:rPr>
              <m:t>TAN</m:t>
            </m:r>
            <m:ctrlPr>
              <w:rPr>
                <w:rFonts w:ascii="Cambria Math" w:hAnsi="Cambria Math" w:eastAsia="宋体" w:cs="Times New Roman"/>
                <w:sz w:val="24"/>
                <w:szCs w:val="32"/>
              </w:rPr>
            </m:ctrlPr>
          </m:sub>
        </m:sSub>
        <m:r>
          <m:rPr>
            <m:nor/>
            <m:sty m:val="p"/>
          </m:rPr>
          <w:rPr>
            <w:rFonts w:ascii="Times New Roman" w:hAnsi="Times New Roman" w:eastAsia="宋体" w:cs="Times New Roman"/>
            <w:sz w:val="24"/>
            <w:szCs w:val="32"/>
          </w:rPr>
          <m:t xml:space="preserve"> = Δ</m:t>
        </m:r>
        <m:sSub>
          <m:sSubPr>
            <m:ctrlPr>
              <w:rPr>
                <w:rFonts w:ascii="Cambria Math" w:hAnsi="Cambria Math" w:eastAsia="宋体" w:cs="Times New Roman"/>
                <w:sz w:val="24"/>
                <w:szCs w:val="32"/>
              </w:rPr>
            </m:ctrlPr>
          </m:sSubPr>
          <m:e>
            <m:r>
              <m:rPr>
                <m:nor/>
                <m:sty m:val="p"/>
              </m:rPr>
              <w:rPr>
                <w:rFonts w:ascii="Times New Roman" w:hAnsi="Times New Roman" w:eastAsia="宋体" w:cs="Times New Roman"/>
                <w:sz w:val="24"/>
                <w:szCs w:val="32"/>
              </w:rPr>
              <m:t>C</m:t>
            </m:r>
            <m:ctrlPr>
              <w:rPr>
                <w:rFonts w:ascii="Cambria Math" w:hAnsi="Cambria Math" w:eastAsia="宋体" w:cs="Times New Roman"/>
                <w:sz w:val="24"/>
                <w:szCs w:val="32"/>
              </w:rPr>
            </m:ctrlPr>
          </m:e>
          <m:sub>
            <m:r>
              <m:rPr>
                <m:nor/>
                <m:sty m:val="p"/>
              </m:rPr>
              <w:rPr>
                <w:rFonts w:ascii="Times New Roman" w:hAnsi="Times New Roman" w:eastAsia="宋体" w:cs="Times New Roman"/>
                <w:sz w:val="24"/>
                <w:szCs w:val="32"/>
              </w:rPr>
              <m:t>TAN</m:t>
            </m:r>
            <m:ctrlPr>
              <w:rPr>
                <w:rFonts w:ascii="Cambria Math" w:hAnsi="Cambria Math" w:eastAsia="宋体" w:cs="Times New Roman"/>
                <w:sz w:val="24"/>
                <w:szCs w:val="32"/>
              </w:rPr>
            </m:ctrlPr>
          </m:sub>
        </m:sSub>
        <m:r>
          <m:rPr>
            <m:nor/>
            <m:sty m:val="p"/>
          </m:rPr>
          <w:rPr>
            <w:rFonts w:ascii="Times New Roman" w:hAnsi="Times New Roman" w:eastAsia="宋体" w:cs="Times New Roman"/>
            <w:sz w:val="24"/>
            <w:szCs w:val="32"/>
          </w:rPr>
          <m:t xml:space="preserve"> × V</m:t>
        </m:r>
      </m:oMath>
      <w:r>
        <w:rPr>
          <w:rFonts w:ascii="Times New Roman" w:hAnsi="Times New Roman" w:eastAsia="宋体" w:cs="Times New Roman"/>
          <w:sz w:val="24"/>
          <w:szCs w:val="32"/>
        </w:rPr>
        <w:t xml:space="preserve">                               (5)</w:t>
      </w:r>
    </w:p>
    <w:p w14:paraId="49F4F017">
      <w:pPr>
        <w:spacing w:line="48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where N</w:t>
      </w:r>
      <w:r>
        <w:rPr>
          <w:rFonts w:ascii="Times New Roman" w:hAnsi="Times New Roman" w:eastAsia="宋体" w:cs="Times New Roman"/>
          <w:sz w:val="24"/>
          <w:szCs w:val="24"/>
          <w:vertAlign w:val="subscript"/>
        </w:rPr>
        <w:t>TAN</w:t>
      </w:r>
      <w:r>
        <w:rPr>
          <w:rFonts w:ascii="Times New Roman" w:hAnsi="Times New Roman" w:eastAsia="宋体" w:cs="Times New Roman"/>
          <w:sz w:val="24"/>
          <w:szCs w:val="24"/>
        </w:rPr>
        <w:t xml:space="preserve"> is the additional amount of TAN removed by micro-aeration (mg TAN), and V is the reactor working volume, which was 0.450 L in this study.</w:t>
      </w:r>
    </w:p>
    <w:p w14:paraId="56D116FA">
      <w:pPr>
        <w:spacing w:line="48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The methane production loss caused by micro-aeration during each phase was calculated as follows:</w:t>
      </w:r>
    </w:p>
    <w:p w14:paraId="2405D3B1">
      <w:pPr>
        <w:spacing w:line="480" w:lineRule="auto"/>
        <w:jc w:val="right"/>
        <w:rPr>
          <w:rFonts w:ascii="Times New Roman" w:hAnsi="Times New Roman" w:eastAsia="宋体" w:cs="Times New Roman"/>
          <w:szCs w:val="24"/>
        </w:rPr>
      </w:pPr>
      <m:oMath>
        <m:sSub>
          <m:sSubPr>
            <m:ctrlPr>
              <w:rPr>
                <w:rFonts w:ascii="Cambria Math" w:hAnsi="Cambria Math" w:eastAsia="宋体" w:cs="Times New Roman"/>
                <w:sz w:val="24"/>
                <w:szCs w:val="32"/>
              </w:rPr>
            </m:ctrlPr>
          </m:sSubPr>
          <m:e>
            <m:sSub>
              <m:sSubPr>
                <m:ctrlPr>
                  <w:rPr>
                    <w:rFonts w:ascii="Cambria Math" w:hAnsi="Cambria Math" w:eastAsia="宋体" w:cs="Times New Roman"/>
                    <w:sz w:val="24"/>
                    <w:szCs w:val="32"/>
                  </w:rPr>
                </m:ctrlPr>
              </m:sSubPr>
              <m:e>
                <m:r>
                  <m:rPr>
                    <m:nor/>
                    <m:sty m:val="p"/>
                  </m:rPr>
                  <w:rPr>
                    <w:rFonts w:ascii="Times New Roman" w:hAnsi="Times New Roman" w:eastAsia="宋体" w:cs="Times New Roman"/>
                    <w:sz w:val="24"/>
                    <w:szCs w:val="32"/>
                  </w:rPr>
                  <m:t>L</m:t>
                </m:r>
                <m:ctrlPr>
                  <w:rPr>
                    <w:rFonts w:ascii="Cambria Math" w:hAnsi="Cambria Math" w:eastAsia="宋体" w:cs="Times New Roman"/>
                    <w:sz w:val="24"/>
                    <w:szCs w:val="32"/>
                  </w:rPr>
                </m:ctrlPr>
              </m:e>
              <m:sub>
                <m:r>
                  <m:rPr>
                    <m:nor/>
                    <m:sty m:val="p"/>
                  </m:rPr>
                  <w:rPr>
                    <w:rFonts w:ascii="Times New Roman" w:hAnsi="Times New Roman" w:eastAsia="宋体" w:cs="Times New Roman"/>
                    <w:sz w:val="24"/>
                    <w:szCs w:val="32"/>
                  </w:rPr>
                  <m:t>CH</m:t>
                </m:r>
                <m:ctrlPr>
                  <w:rPr>
                    <w:rFonts w:ascii="Cambria Math" w:hAnsi="Cambria Math" w:eastAsia="宋体" w:cs="Times New Roman"/>
                    <w:sz w:val="24"/>
                    <w:szCs w:val="32"/>
                  </w:rPr>
                </m:ctrlPr>
              </m:sub>
            </m:sSub>
            <m:ctrlPr>
              <w:rPr>
                <w:rFonts w:ascii="Cambria Math" w:hAnsi="Cambria Math" w:eastAsia="宋体" w:cs="Times New Roman"/>
                <w:sz w:val="24"/>
                <w:szCs w:val="32"/>
              </w:rPr>
            </m:ctrlPr>
          </m:e>
          <m:sub>
            <m:r>
              <m:rPr>
                <m:nor/>
                <m:sty m:val="p"/>
              </m:rPr>
              <w:rPr>
                <w:rFonts w:ascii="Times New Roman" w:hAnsi="Times New Roman" w:eastAsia="宋体" w:cs="Times New Roman"/>
                <w:sz w:val="24"/>
                <w:szCs w:val="32"/>
              </w:rPr>
              <m:t>4</m:t>
            </m:r>
            <m:ctrlPr>
              <w:rPr>
                <w:rFonts w:ascii="Cambria Math" w:hAnsi="Cambria Math" w:eastAsia="宋体" w:cs="Times New Roman"/>
                <w:sz w:val="24"/>
                <w:szCs w:val="32"/>
              </w:rPr>
            </m:ctrlPr>
          </m:sub>
        </m:sSub>
        <m:r>
          <m:rPr>
            <m:nor/>
            <m:sty m:val="p"/>
          </m:rPr>
          <w:rPr>
            <w:rFonts w:ascii="Times New Roman" w:hAnsi="Times New Roman" w:eastAsia="宋体" w:cs="Times New Roman"/>
            <w:sz w:val="24"/>
            <w:szCs w:val="32"/>
          </w:rPr>
          <m:t xml:space="preserve"> = </m:t>
        </m:r>
        <m:sSub>
          <m:sSubPr>
            <m:ctrlPr>
              <w:rPr>
                <w:rFonts w:ascii="Cambria Math" w:hAnsi="Cambria Math" w:eastAsia="宋体" w:cs="Times New Roman"/>
                <w:sz w:val="24"/>
                <w:szCs w:val="32"/>
              </w:rPr>
            </m:ctrlPr>
          </m:sSubPr>
          <m:e>
            <m:r>
              <m:rPr>
                <m:nor/>
                <m:sty m:val="p"/>
              </m:rPr>
              <w:rPr>
                <w:rFonts w:ascii="Times New Roman" w:hAnsi="Times New Roman" w:eastAsia="宋体" w:cs="Times New Roman"/>
                <w:sz w:val="24"/>
                <w:szCs w:val="32"/>
              </w:rPr>
              <m:t>M</m:t>
            </m:r>
            <m:ctrlPr>
              <w:rPr>
                <w:rFonts w:ascii="Cambria Math" w:hAnsi="Cambria Math" w:eastAsia="宋体" w:cs="Times New Roman"/>
                <w:sz w:val="24"/>
                <w:szCs w:val="32"/>
              </w:rPr>
            </m:ctrlPr>
          </m:e>
          <m:sub>
            <m:r>
              <m:rPr>
                <m:nor/>
                <m:sty m:val="p"/>
              </m:rPr>
              <w:rPr>
                <w:rFonts w:ascii="Times New Roman" w:hAnsi="Times New Roman" w:eastAsia="宋体" w:cs="Times New Roman"/>
                <w:sz w:val="24"/>
                <w:szCs w:val="32"/>
              </w:rPr>
              <m:t>CK</m:t>
            </m:r>
            <m:ctrlPr>
              <w:rPr>
                <w:rFonts w:ascii="Cambria Math" w:hAnsi="Cambria Math" w:eastAsia="宋体" w:cs="Times New Roman"/>
                <w:sz w:val="24"/>
                <w:szCs w:val="32"/>
              </w:rPr>
            </m:ctrlPr>
          </m:sub>
        </m:sSub>
        <m:r>
          <m:rPr>
            <m:nor/>
            <m:sty m:val="p"/>
          </m:rPr>
          <w:rPr>
            <w:rFonts w:ascii="Times New Roman" w:hAnsi="Times New Roman" w:eastAsia="宋体" w:cs="Times New Roman"/>
            <w:sz w:val="24"/>
            <w:szCs w:val="32"/>
          </w:rPr>
          <m:t xml:space="preserve"> - </m:t>
        </m:r>
        <m:sSub>
          <m:sSubPr>
            <m:ctrlPr>
              <w:rPr>
                <w:rFonts w:ascii="Cambria Math" w:hAnsi="Cambria Math" w:eastAsia="宋体" w:cs="Times New Roman"/>
                <w:sz w:val="24"/>
                <w:szCs w:val="32"/>
              </w:rPr>
            </m:ctrlPr>
          </m:sSubPr>
          <m:e>
            <m:r>
              <m:rPr>
                <m:nor/>
                <m:sty m:val="p"/>
              </m:rPr>
              <w:rPr>
                <w:rFonts w:ascii="Times New Roman" w:hAnsi="Times New Roman" w:eastAsia="宋体" w:cs="Times New Roman"/>
                <w:sz w:val="24"/>
                <w:szCs w:val="32"/>
              </w:rPr>
              <m:t>M</m:t>
            </m:r>
            <m:ctrlPr>
              <w:rPr>
                <w:rFonts w:ascii="Cambria Math" w:hAnsi="Cambria Math" w:eastAsia="宋体" w:cs="Times New Roman"/>
                <w:sz w:val="24"/>
                <w:szCs w:val="32"/>
              </w:rPr>
            </m:ctrlPr>
          </m:e>
          <m:sub>
            <m:r>
              <m:rPr>
                <m:nor/>
                <m:sty m:val="p"/>
              </m:rPr>
              <w:rPr>
                <w:rFonts w:ascii="Times New Roman" w:hAnsi="Times New Roman" w:eastAsia="宋体" w:cs="Times New Roman"/>
                <w:sz w:val="24"/>
                <w:szCs w:val="32"/>
              </w:rPr>
              <m:t>MG</m:t>
            </m:r>
            <m:ctrlPr>
              <w:rPr>
                <w:rFonts w:ascii="Cambria Math" w:hAnsi="Cambria Math" w:eastAsia="宋体" w:cs="Times New Roman"/>
                <w:sz w:val="24"/>
                <w:szCs w:val="32"/>
              </w:rPr>
            </m:ctrlPr>
          </m:sub>
        </m:sSub>
      </m:oMath>
      <w:r>
        <w:rPr>
          <w:rFonts w:ascii="Times New Roman" w:hAnsi="Times New Roman" w:eastAsia="宋体" w:cs="Times New Roman"/>
          <w:sz w:val="24"/>
          <w:szCs w:val="32"/>
        </w:rPr>
        <w:t xml:space="preserve">                              (6)</w:t>
      </w:r>
    </w:p>
    <w:p w14:paraId="56EFD36E">
      <w:pPr>
        <w:spacing w:line="48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where M</w:t>
      </w:r>
      <w:r>
        <w:rPr>
          <w:rFonts w:ascii="Times New Roman" w:hAnsi="Times New Roman" w:eastAsia="宋体" w:cs="Times New Roman"/>
          <w:sz w:val="24"/>
          <w:szCs w:val="24"/>
          <w:vertAlign w:val="subscript"/>
        </w:rPr>
        <w:t>CK</w:t>
      </w:r>
      <w:r>
        <w:rPr>
          <w:rFonts w:ascii="Times New Roman" w:hAnsi="Times New Roman" w:eastAsia="宋体" w:cs="Times New Roman"/>
          <w:sz w:val="24"/>
          <w:szCs w:val="24"/>
        </w:rPr>
        <w:t xml:space="preserve"> and M</w:t>
      </w:r>
      <w:r>
        <w:rPr>
          <w:rFonts w:ascii="Times New Roman" w:hAnsi="Times New Roman" w:eastAsia="宋体" w:cs="Times New Roman"/>
          <w:sz w:val="24"/>
          <w:szCs w:val="24"/>
          <w:vertAlign w:val="subscript"/>
        </w:rPr>
        <w:t>MG</w:t>
      </w:r>
      <w:r>
        <w:rPr>
          <w:rFonts w:ascii="Times New Roman" w:hAnsi="Times New Roman" w:eastAsia="宋体" w:cs="Times New Roman"/>
          <w:sz w:val="24"/>
          <w:szCs w:val="24"/>
        </w:rPr>
        <w:t xml:space="preserve"> are the methane production volumes (mL CH</w:t>
      </w:r>
      <w:r>
        <w:rPr>
          <w:rFonts w:ascii="Times New Roman" w:hAnsi="Times New Roman" w:eastAsia="宋体" w:cs="Times New Roman"/>
          <w:sz w:val="24"/>
          <w:szCs w:val="24"/>
          <w:vertAlign w:val="subscript"/>
        </w:rPr>
        <w:t>4</w:t>
      </w:r>
      <w:r>
        <w:rPr>
          <w:rFonts w:ascii="Times New Roman" w:hAnsi="Times New Roman" w:eastAsia="宋体" w:cs="Times New Roman"/>
          <w:sz w:val="24"/>
          <w:szCs w:val="24"/>
        </w:rPr>
        <w:t>) of the CK and MG groups, respectively, during the corresponding phase, and L</w:t>
      </w:r>
      <w:r>
        <w:rPr>
          <w:rFonts w:ascii="Times New Roman" w:hAnsi="Times New Roman" w:eastAsia="宋体" w:cs="Times New Roman"/>
          <w:sz w:val="24"/>
          <w:szCs w:val="24"/>
          <w:vertAlign w:val="subscript"/>
        </w:rPr>
        <w:t>CH</w:t>
      </w:r>
      <w:r>
        <w:rPr>
          <w:rFonts w:ascii="Times New Roman" w:hAnsi="Times New Roman" w:eastAsia="宋体" w:cs="Times New Roman"/>
          <w:sz w:val="20"/>
          <w:szCs w:val="20"/>
          <w:vertAlign w:val="subscript"/>
        </w:rPr>
        <w:t>4</w:t>
      </w:r>
      <w:r>
        <w:rPr>
          <w:rFonts w:ascii="Times New Roman" w:hAnsi="Times New Roman" w:eastAsia="宋体" w:cs="Times New Roman"/>
          <w:sz w:val="24"/>
          <w:szCs w:val="24"/>
        </w:rPr>
        <w:t xml:space="preserve"> represents the methane production loss under micro-aeration relative to the CK group (mL CH</w:t>
      </w:r>
      <w:r>
        <w:rPr>
          <w:rFonts w:ascii="Times New Roman" w:hAnsi="Times New Roman" w:eastAsia="宋体" w:cs="Times New Roman"/>
          <w:sz w:val="24"/>
          <w:szCs w:val="24"/>
          <w:vertAlign w:val="subscript"/>
        </w:rPr>
        <w:t>4</w:t>
      </w:r>
      <w:r>
        <w:rPr>
          <w:rFonts w:ascii="Times New Roman" w:hAnsi="Times New Roman" w:eastAsia="宋体" w:cs="Times New Roman"/>
          <w:sz w:val="24"/>
          <w:szCs w:val="24"/>
        </w:rPr>
        <w:t>).</w:t>
      </w:r>
    </w:p>
    <w:p w14:paraId="5186F26F">
      <w:pPr>
        <w:spacing w:line="480" w:lineRule="auto"/>
        <w:ind w:firstLine="480" w:firstLineChars="200"/>
        <w:rPr>
          <w:rFonts w:ascii="Times New Roman" w:hAnsi="Times New Roman" w:eastAsia="宋体" w:cs="Times New Roman"/>
          <w:sz w:val="24"/>
          <w:szCs w:val="32"/>
        </w:rPr>
      </w:pPr>
      <w:r>
        <w:rPr>
          <w:rFonts w:ascii="Times New Roman" w:hAnsi="Times New Roman" w:eastAsia="宋体" w:cs="Times New Roman"/>
          <w:sz w:val="24"/>
          <w:szCs w:val="32"/>
        </w:rPr>
        <w:t>On this basis, the apparent methane–nitrogen trade-off coefficient, Θ, was defined as:</w:t>
      </w:r>
    </w:p>
    <w:p w14:paraId="410F603F">
      <w:pPr>
        <w:spacing w:line="480" w:lineRule="auto"/>
        <w:jc w:val="right"/>
        <w:rPr>
          <w:rFonts w:ascii="Times New Roman" w:hAnsi="Times New Roman" w:eastAsia="宋体" w:cs="Times New Roman"/>
          <w:szCs w:val="24"/>
        </w:rPr>
      </w:pPr>
      <m:oMath>
        <m:r>
          <m:rPr>
            <m:nor/>
            <m:sty m:val="p"/>
          </m:rPr>
          <w:rPr>
            <w:rFonts w:ascii="Times New Roman" w:hAnsi="Times New Roman" w:eastAsia="宋体" w:cs="Times New Roman"/>
            <w:sz w:val="24"/>
            <w:szCs w:val="32"/>
          </w:rPr>
          <m:t xml:space="preserve">Θ = </m:t>
        </m:r>
        <m:f>
          <m:fPr>
            <m:ctrlPr>
              <w:rPr>
                <w:rFonts w:ascii="Cambria Math" w:hAnsi="Cambria Math" w:eastAsia="宋体" w:cs="Times New Roman"/>
                <w:sz w:val="24"/>
                <w:szCs w:val="32"/>
              </w:rPr>
            </m:ctrlPr>
          </m:fPr>
          <m:num>
            <m:sSub>
              <m:sSubPr>
                <m:ctrlPr>
                  <w:rPr>
                    <w:rFonts w:ascii="Cambria Math" w:hAnsi="Cambria Math" w:eastAsia="宋体" w:cs="Times New Roman"/>
                    <w:sz w:val="24"/>
                    <w:szCs w:val="32"/>
                  </w:rPr>
                </m:ctrlPr>
              </m:sSubPr>
              <m:e>
                <m:sSub>
                  <m:sSubPr>
                    <m:ctrlPr>
                      <w:rPr>
                        <w:rFonts w:ascii="Cambria Math" w:hAnsi="Cambria Math" w:eastAsia="宋体" w:cs="Times New Roman"/>
                        <w:sz w:val="24"/>
                        <w:szCs w:val="32"/>
                      </w:rPr>
                    </m:ctrlPr>
                  </m:sSubPr>
                  <m:e>
                    <m:r>
                      <m:rPr>
                        <m:nor/>
                        <m:sty m:val="p"/>
                      </m:rPr>
                      <w:rPr>
                        <w:rFonts w:ascii="Times New Roman" w:hAnsi="Times New Roman" w:eastAsia="宋体" w:cs="Times New Roman"/>
                        <w:sz w:val="24"/>
                        <w:szCs w:val="32"/>
                      </w:rPr>
                      <m:t>L</m:t>
                    </m:r>
                    <m:ctrlPr>
                      <w:rPr>
                        <w:rFonts w:ascii="Cambria Math" w:hAnsi="Cambria Math" w:eastAsia="宋体" w:cs="Times New Roman"/>
                        <w:sz w:val="24"/>
                        <w:szCs w:val="32"/>
                      </w:rPr>
                    </m:ctrlPr>
                  </m:e>
                  <m:sub>
                    <m:r>
                      <m:rPr>
                        <m:nor/>
                        <m:sty m:val="p"/>
                      </m:rPr>
                      <w:rPr>
                        <w:rFonts w:ascii="Times New Roman" w:hAnsi="Times New Roman" w:eastAsia="宋体" w:cs="Times New Roman"/>
                        <w:sz w:val="24"/>
                        <w:szCs w:val="32"/>
                      </w:rPr>
                      <m:t>CH</m:t>
                    </m:r>
                    <m:ctrlPr>
                      <w:rPr>
                        <w:rFonts w:ascii="Cambria Math" w:hAnsi="Cambria Math" w:eastAsia="宋体" w:cs="Times New Roman"/>
                        <w:sz w:val="24"/>
                        <w:szCs w:val="32"/>
                      </w:rPr>
                    </m:ctrlPr>
                  </m:sub>
                </m:sSub>
                <m:ctrlPr>
                  <w:rPr>
                    <w:rFonts w:ascii="Cambria Math" w:hAnsi="Cambria Math" w:eastAsia="宋体" w:cs="Times New Roman"/>
                    <w:sz w:val="24"/>
                    <w:szCs w:val="32"/>
                  </w:rPr>
                </m:ctrlPr>
              </m:e>
              <m:sub>
                <m:r>
                  <m:rPr>
                    <m:nor/>
                    <m:sty m:val="p"/>
                  </m:rPr>
                  <w:rPr>
                    <w:rFonts w:ascii="Times New Roman" w:hAnsi="Times New Roman" w:eastAsia="宋体" w:cs="Times New Roman"/>
                    <w:sz w:val="24"/>
                    <w:szCs w:val="32"/>
                  </w:rPr>
                  <m:t>4</m:t>
                </m:r>
                <m:ctrlPr>
                  <w:rPr>
                    <w:rFonts w:ascii="Cambria Math" w:hAnsi="Cambria Math" w:eastAsia="宋体" w:cs="Times New Roman"/>
                    <w:sz w:val="24"/>
                    <w:szCs w:val="32"/>
                  </w:rPr>
                </m:ctrlPr>
              </m:sub>
            </m:sSub>
            <m:ctrlPr>
              <w:rPr>
                <w:rFonts w:ascii="Cambria Math" w:hAnsi="Cambria Math" w:eastAsia="宋体" w:cs="Times New Roman"/>
                <w:sz w:val="24"/>
                <w:szCs w:val="32"/>
              </w:rPr>
            </m:ctrlPr>
          </m:num>
          <m:den>
            <m:sSub>
              <m:sSubPr>
                <m:ctrlPr>
                  <w:rPr>
                    <w:rFonts w:ascii="Cambria Math" w:hAnsi="Cambria Math" w:eastAsia="宋体" w:cs="Times New Roman"/>
                    <w:sz w:val="24"/>
                    <w:szCs w:val="32"/>
                  </w:rPr>
                </m:ctrlPr>
              </m:sSubPr>
              <m:e>
                <m:r>
                  <m:rPr>
                    <m:nor/>
                    <m:sty m:val="p"/>
                  </m:rPr>
                  <w:rPr>
                    <w:rFonts w:ascii="Times New Roman" w:hAnsi="Times New Roman" w:eastAsia="宋体" w:cs="Times New Roman"/>
                    <w:sz w:val="24"/>
                    <w:szCs w:val="32"/>
                  </w:rPr>
                  <m:t>N</m:t>
                </m:r>
                <m:ctrlPr>
                  <w:rPr>
                    <w:rFonts w:ascii="Cambria Math" w:hAnsi="Cambria Math" w:eastAsia="宋体" w:cs="Times New Roman"/>
                    <w:sz w:val="24"/>
                    <w:szCs w:val="32"/>
                  </w:rPr>
                </m:ctrlPr>
              </m:e>
              <m:sub>
                <m:r>
                  <m:rPr>
                    <m:nor/>
                    <m:sty m:val="p"/>
                  </m:rPr>
                  <w:rPr>
                    <w:rFonts w:ascii="Times New Roman" w:hAnsi="Times New Roman" w:eastAsia="宋体" w:cs="Times New Roman"/>
                    <w:sz w:val="24"/>
                    <w:szCs w:val="32"/>
                  </w:rPr>
                  <m:t>TAN</m:t>
                </m:r>
                <m:ctrlPr>
                  <w:rPr>
                    <w:rFonts w:ascii="Cambria Math" w:hAnsi="Cambria Math" w:eastAsia="宋体" w:cs="Times New Roman"/>
                    <w:sz w:val="24"/>
                    <w:szCs w:val="32"/>
                  </w:rPr>
                </m:ctrlPr>
              </m:sub>
            </m:sSub>
            <m:ctrlPr>
              <w:rPr>
                <w:rFonts w:ascii="Cambria Math" w:hAnsi="Cambria Math" w:eastAsia="宋体" w:cs="Times New Roman"/>
                <w:sz w:val="24"/>
                <w:szCs w:val="32"/>
              </w:rPr>
            </m:ctrlPr>
          </m:den>
        </m:f>
      </m:oMath>
      <w:r>
        <w:rPr>
          <w:rFonts w:ascii="Times New Roman" w:hAnsi="Times New Roman" w:eastAsia="宋体" w:cs="Times New Roman"/>
          <w:sz w:val="24"/>
          <w:szCs w:val="32"/>
        </w:rPr>
        <w:t xml:space="preserve">                                   (7)</w:t>
      </w:r>
    </w:p>
    <w:p w14:paraId="350B4911">
      <w:pPr>
        <w:spacing w:line="480" w:lineRule="auto"/>
        <w:ind w:firstLine="480" w:firstLineChars="200"/>
        <w:rPr>
          <w:rFonts w:ascii="Times New Roman" w:hAnsi="Times New Roman" w:eastAsia="宋体" w:cs="Times New Roman"/>
          <w:sz w:val="24"/>
          <w:szCs w:val="32"/>
        </w:rPr>
      </w:pPr>
      <w:r>
        <w:rPr>
          <w:rFonts w:ascii="Times New Roman" w:hAnsi="Times New Roman" w:eastAsia="宋体" w:cs="Times New Roman"/>
          <w:sz w:val="24"/>
          <w:szCs w:val="32"/>
        </w:rPr>
        <w:t>The unit of Θ is mL CH</w:t>
      </w:r>
      <w:r>
        <w:rPr>
          <w:rFonts w:ascii="Times New Roman" w:hAnsi="Times New Roman" w:eastAsia="宋体" w:cs="Times New Roman"/>
          <w:sz w:val="24"/>
          <w:szCs w:val="32"/>
          <w:vertAlign w:val="subscript"/>
        </w:rPr>
        <w:t>4</w:t>
      </w:r>
      <w:r>
        <w:rPr>
          <w:rFonts w:ascii="Times New Roman" w:hAnsi="Times New Roman" w:eastAsia="宋体" w:cs="Times New Roman"/>
          <w:sz w:val="24"/>
          <w:szCs w:val="32"/>
        </w:rPr>
        <w:t xml:space="preserve"> mg</w:t>
      </w:r>
      <w:r>
        <w:rPr>
          <w:rFonts w:ascii="Times New Roman" w:hAnsi="Times New Roman" w:eastAsia="宋体" w:cs="Times New Roman"/>
          <w:sz w:val="24"/>
          <w:szCs w:val="32"/>
          <w:vertAlign w:val="superscript"/>
        </w:rPr>
        <w:t>-1</w:t>
      </w:r>
      <w:r>
        <w:rPr>
          <w:rFonts w:ascii="Times New Roman" w:hAnsi="Times New Roman" w:eastAsia="宋体" w:cs="Times New Roman"/>
          <w:sz w:val="24"/>
          <w:szCs w:val="32"/>
        </w:rPr>
        <w:t xml:space="preserve"> TAN, representing the methane production loss associated with each additional 1 mg of TAN removed. A lower Θ value indicates a smaller methane-production penalty per unit of additional TAN removal. Θ was not calculated for operational phases lacking reliable phase-specific methane production data (Phase II).</w:t>
      </w:r>
      <w:r>
        <w:rPr>
          <w:rFonts w:ascii="Times New Roman" w:hAnsi="Times New Roman" w:eastAsia="宋体" w:cs="Times New Roman"/>
          <w:b/>
          <w:bCs/>
          <w:sz w:val="24"/>
          <w:szCs w:val="28"/>
        </w:rPr>
        <w:br w:type="page"/>
      </w:r>
    </w:p>
    <w:p w14:paraId="6BFC6884">
      <w:pPr>
        <w:widowControl/>
        <w:spacing w:line="480" w:lineRule="auto"/>
        <w:jc w:val="left"/>
        <w:rPr>
          <w:rFonts w:ascii="Times New Roman" w:hAnsi="Times New Roman" w:eastAsia="宋体" w:cs="Times New Roman"/>
          <w:b/>
          <w:bCs/>
          <w:sz w:val="24"/>
          <w:szCs w:val="28"/>
        </w:rPr>
      </w:pPr>
      <w:r>
        <w:rPr>
          <w:rFonts w:ascii="Times New Roman" w:hAnsi="Times New Roman" w:eastAsia="宋体" w:cs="Times New Roman"/>
          <w:b/>
          <w:bCs/>
          <w:sz w:val="24"/>
          <w:szCs w:val="28"/>
        </w:rPr>
        <w:t>2. Supplementary Tables</w:t>
      </w:r>
    </w:p>
    <w:p w14:paraId="350A75CC">
      <w:pPr>
        <w:widowControl/>
        <w:spacing w:line="480" w:lineRule="auto"/>
        <w:jc w:val="left"/>
        <w:rPr>
          <w:rFonts w:ascii="Times New Roman" w:hAnsi="Times New Roman" w:eastAsia="宋体" w:cs="Times New Roman"/>
          <w:b/>
          <w:bCs/>
          <w:sz w:val="24"/>
          <w:szCs w:val="28"/>
        </w:rPr>
      </w:pPr>
      <w:r>
        <w:rPr>
          <w:rFonts w:ascii="Times New Roman" w:hAnsi="Times New Roman" w:eastAsia="宋体" w:cs="Times New Roman"/>
          <w:b/>
          <w:bCs/>
          <w:sz w:val="24"/>
          <w:szCs w:val="28"/>
        </w:rPr>
        <w:t>Supplementary Table 2.1 Characteristics of substrate and inoculum</w:t>
      </w:r>
    </w:p>
    <w:tbl>
      <w:tblPr>
        <w:tblStyle w:val="8"/>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499"/>
        <w:gridCol w:w="2868"/>
        <w:gridCol w:w="2271"/>
      </w:tblGrid>
      <w:tr w14:paraId="4F9FA4A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34" w:type="pct"/>
            <w:tcBorders>
              <w:top w:val="single" w:color="auto" w:sz="12" w:space="0"/>
              <w:bottom w:val="single" w:color="auto" w:sz="8" w:space="0"/>
            </w:tcBorders>
            <w:vAlign w:val="center"/>
          </w:tcPr>
          <w:p w14:paraId="6D55E740">
            <w:pPr>
              <w:spacing w:line="360" w:lineRule="auto"/>
              <w:jc w:val="center"/>
              <w:rPr>
                <w:rFonts w:ascii="Times New Roman" w:hAnsi="Times New Roman" w:eastAsia="宋体" w:cs="Times New Roman"/>
                <w:sz w:val="24"/>
                <w:szCs w:val="24"/>
              </w:rPr>
            </w:pPr>
            <w:bookmarkStart w:id="6" w:name="_Hlk201941127"/>
            <w:r>
              <w:rPr>
                <w:rFonts w:ascii="Times New Roman" w:hAnsi="Times New Roman" w:eastAsia="宋体" w:cs="Times New Roman"/>
                <w:sz w:val="24"/>
                <w:szCs w:val="24"/>
              </w:rPr>
              <w:t>Index</w:t>
            </w:r>
          </w:p>
        </w:tc>
        <w:tc>
          <w:tcPr>
            <w:tcW w:w="1488" w:type="pct"/>
            <w:tcBorders>
              <w:top w:val="single" w:color="auto" w:sz="12" w:space="0"/>
              <w:bottom w:val="single" w:color="auto" w:sz="8" w:space="0"/>
            </w:tcBorders>
            <w:vAlign w:val="center"/>
          </w:tcPr>
          <w:p w14:paraId="139581C8">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Inoculum sludge</w:t>
            </w:r>
          </w:p>
        </w:tc>
        <w:tc>
          <w:tcPr>
            <w:tcW w:w="1178" w:type="pct"/>
            <w:tcBorders>
              <w:top w:val="single" w:color="auto" w:sz="12" w:space="0"/>
              <w:bottom w:val="single" w:color="auto" w:sz="8" w:space="0"/>
            </w:tcBorders>
            <w:vAlign w:val="center"/>
          </w:tcPr>
          <w:p w14:paraId="69A08F20">
            <w:pPr>
              <w:spacing w:line="360" w:lineRule="auto"/>
              <w:jc w:val="center"/>
              <w:rPr>
                <w:rFonts w:ascii="Times New Roman" w:hAnsi="Times New Roman" w:eastAsia="宋体" w:cs="Times New Roman"/>
                <w:color w:val="FF0000"/>
                <w:sz w:val="24"/>
                <w:szCs w:val="24"/>
              </w:rPr>
            </w:pPr>
            <w:r>
              <w:rPr>
                <w:rFonts w:ascii="Times New Roman" w:hAnsi="Times New Roman" w:eastAsia="宋体" w:cs="Times New Roman"/>
                <w:sz w:val="24"/>
                <w:szCs w:val="24"/>
              </w:rPr>
              <w:t>Substrate</w:t>
            </w:r>
          </w:p>
        </w:tc>
      </w:tr>
      <w:tr w14:paraId="02C0CA1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34" w:type="pct"/>
            <w:tcBorders>
              <w:top w:val="single" w:color="auto" w:sz="8" w:space="0"/>
              <w:bottom w:val="nil"/>
            </w:tcBorders>
            <w:vAlign w:val="center"/>
          </w:tcPr>
          <w:p w14:paraId="3A7D69D3">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pH</w:t>
            </w:r>
          </w:p>
        </w:tc>
        <w:tc>
          <w:tcPr>
            <w:tcW w:w="1488" w:type="pct"/>
            <w:tcBorders>
              <w:top w:val="single" w:color="auto" w:sz="8" w:space="0"/>
              <w:bottom w:val="nil"/>
            </w:tcBorders>
            <w:vAlign w:val="center"/>
          </w:tcPr>
          <w:p w14:paraId="7851897B">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7.80±0.40</w:t>
            </w:r>
          </w:p>
        </w:tc>
        <w:tc>
          <w:tcPr>
            <w:tcW w:w="1178" w:type="pct"/>
            <w:tcBorders>
              <w:top w:val="single" w:color="auto" w:sz="8" w:space="0"/>
              <w:bottom w:val="nil"/>
            </w:tcBorders>
            <w:vAlign w:val="center"/>
          </w:tcPr>
          <w:p w14:paraId="6B143EF9">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 xml:space="preserve">N.A. </w:t>
            </w:r>
            <w:r>
              <w:rPr>
                <w:rFonts w:ascii="Times New Roman" w:hAnsi="Times New Roman" w:eastAsia="宋体" w:cs="Times New Roman"/>
                <w:sz w:val="24"/>
                <w:szCs w:val="24"/>
                <w:vertAlign w:val="superscript"/>
              </w:rPr>
              <w:t>a</w:t>
            </w:r>
          </w:p>
        </w:tc>
      </w:tr>
      <w:tr w14:paraId="24F3002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34" w:type="pct"/>
            <w:tcBorders>
              <w:top w:val="nil"/>
            </w:tcBorders>
            <w:vAlign w:val="center"/>
          </w:tcPr>
          <w:p w14:paraId="3914F8DE">
            <w:pPr>
              <w:spacing w:line="360" w:lineRule="auto"/>
              <w:jc w:val="center"/>
              <w:rPr>
                <w:rFonts w:ascii="Times New Roman" w:hAnsi="Times New Roman" w:eastAsia="宋体" w:cs="Times New Roman"/>
                <w:color w:val="FF0000"/>
                <w:sz w:val="24"/>
                <w:szCs w:val="24"/>
              </w:rPr>
            </w:pPr>
            <w:r>
              <w:rPr>
                <w:rFonts w:ascii="Times New Roman" w:hAnsi="Times New Roman" w:eastAsia="宋体" w:cs="Times New Roman"/>
                <w:sz w:val="24"/>
                <w:szCs w:val="24"/>
              </w:rPr>
              <w:t>Total solids content (%)</w:t>
            </w:r>
          </w:p>
        </w:tc>
        <w:tc>
          <w:tcPr>
            <w:tcW w:w="1488" w:type="pct"/>
            <w:tcBorders>
              <w:top w:val="nil"/>
            </w:tcBorders>
            <w:vAlign w:val="center"/>
          </w:tcPr>
          <w:p w14:paraId="749C3ECE">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6.63±0.21</w:t>
            </w:r>
          </w:p>
        </w:tc>
        <w:tc>
          <w:tcPr>
            <w:tcW w:w="1178" w:type="pct"/>
            <w:tcBorders>
              <w:top w:val="nil"/>
            </w:tcBorders>
            <w:vAlign w:val="center"/>
          </w:tcPr>
          <w:p w14:paraId="292253BB">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24.87 ± 0.42</w:t>
            </w:r>
          </w:p>
        </w:tc>
      </w:tr>
      <w:tr w14:paraId="16EC77E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34" w:type="pct"/>
            <w:vAlign w:val="center"/>
          </w:tcPr>
          <w:p w14:paraId="195AB6FC">
            <w:pPr>
              <w:spacing w:line="360" w:lineRule="auto"/>
              <w:jc w:val="center"/>
              <w:rPr>
                <w:rFonts w:ascii="Times New Roman" w:hAnsi="Times New Roman" w:eastAsia="宋体" w:cs="Times New Roman"/>
                <w:color w:val="FF0000"/>
                <w:sz w:val="24"/>
                <w:szCs w:val="24"/>
              </w:rPr>
            </w:pPr>
            <w:r>
              <w:rPr>
                <w:rFonts w:ascii="Times New Roman" w:hAnsi="Times New Roman" w:eastAsia="宋体" w:cs="Times New Roman"/>
                <w:sz w:val="24"/>
                <w:szCs w:val="24"/>
              </w:rPr>
              <w:t>Volatile solids content (%)</w:t>
            </w:r>
          </w:p>
        </w:tc>
        <w:tc>
          <w:tcPr>
            <w:tcW w:w="1488" w:type="pct"/>
            <w:vAlign w:val="center"/>
          </w:tcPr>
          <w:p w14:paraId="482AA5F5">
            <w:pPr>
              <w:spacing w:line="360" w:lineRule="auto"/>
              <w:jc w:val="center"/>
              <w:rPr>
                <w:rFonts w:ascii="Times New Roman" w:hAnsi="Times New Roman" w:eastAsia="宋体" w:cs="Times New Roman"/>
                <w:sz w:val="24"/>
                <w:szCs w:val="24"/>
              </w:rPr>
            </w:pPr>
            <w:bookmarkStart w:id="7" w:name="OLE_LINK1"/>
            <w:r>
              <w:rPr>
                <w:rFonts w:ascii="Times New Roman" w:hAnsi="Times New Roman" w:eastAsia="宋体" w:cs="Times New Roman"/>
                <w:sz w:val="24"/>
                <w:szCs w:val="24"/>
              </w:rPr>
              <w:t>3.83±0.</w:t>
            </w:r>
            <w:bookmarkEnd w:id="7"/>
            <w:r>
              <w:rPr>
                <w:rFonts w:ascii="Times New Roman" w:hAnsi="Times New Roman" w:eastAsia="宋体" w:cs="Times New Roman"/>
                <w:sz w:val="24"/>
                <w:szCs w:val="24"/>
              </w:rPr>
              <w:t>11</w:t>
            </w:r>
          </w:p>
        </w:tc>
        <w:tc>
          <w:tcPr>
            <w:tcW w:w="1178" w:type="pct"/>
            <w:vAlign w:val="center"/>
          </w:tcPr>
          <w:p w14:paraId="272D7BA0">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24.44 ± 0.71</w:t>
            </w:r>
          </w:p>
        </w:tc>
      </w:tr>
      <w:tr w14:paraId="2D8018B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34" w:type="pct"/>
            <w:vAlign w:val="center"/>
          </w:tcPr>
          <w:p w14:paraId="08BFA28C">
            <w:pPr>
              <w:widowControl/>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Carbon content (%)</w:t>
            </w:r>
          </w:p>
        </w:tc>
        <w:tc>
          <w:tcPr>
            <w:tcW w:w="1488" w:type="pct"/>
            <w:vAlign w:val="center"/>
          </w:tcPr>
          <w:p w14:paraId="3ACB83FD">
            <w:pPr>
              <w:widowControl/>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N.A.</w:t>
            </w:r>
          </w:p>
        </w:tc>
        <w:tc>
          <w:tcPr>
            <w:tcW w:w="1178" w:type="pct"/>
            <w:vAlign w:val="center"/>
          </w:tcPr>
          <w:p w14:paraId="2C93646B">
            <w:pPr>
              <w:widowControl/>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52.48 ± 0.24</w:t>
            </w:r>
          </w:p>
        </w:tc>
      </w:tr>
      <w:tr w14:paraId="4273AFB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34" w:type="pct"/>
            <w:vAlign w:val="center"/>
          </w:tcPr>
          <w:p w14:paraId="2641E985">
            <w:pPr>
              <w:widowControl/>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Hydrogen content (%)</w:t>
            </w:r>
          </w:p>
        </w:tc>
        <w:tc>
          <w:tcPr>
            <w:tcW w:w="1488" w:type="pct"/>
          </w:tcPr>
          <w:p w14:paraId="49A86B82">
            <w:pPr>
              <w:widowControl/>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N.A.</w:t>
            </w:r>
          </w:p>
        </w:tc>
        <w:tc>
          <w:tcPr>
            <w:tcW w:w="1178" w:type="pct"/>
            <w:vAlign w:val="center"/>
          </w:tcPr>
          <w:p w14:paraId="5D312C0C">
            <w:pPr>
              <w:widowControl/>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7.95 ± 0.03</w:t>
            </w:r>
          </w:p>
        </w:tc>
      </w:tr>
      <w:tr w14:paraId="37F88DB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34" w:type="pct"/>
            <w:vAlign w:val="center"/>
          </w:tcPr>
          <w:p w14:paraId="6B27B8EB">
            <w:pPr>
              <w:widowControl/>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Oxygen content (%)</w:t>
            </w:r>
          </w:p>
        </w:tc>
        <w:tc>
          <w:tcPr>
            <w:tcW w:w="1488" w:type="pct"/>
          </w:tcPr>
          <w:p w14:paraId="6DEE023C">
            <w:pPr>
              <w:widowControl/>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N.A.</w:t>
            </w:r>
          </w:p>
        </w:tc>
        <w:tc>
          <w:tcPr>
            <w:tcW w:w="1178" w:type="pct"/>
            <w:vAlign w:val="center"/>
          </w:tcPr>
          <w:p w14:paraId="5ED8A32B">
            <w:pPr>
              <w:widowControl/>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34.18 ± 0.52</w:t>
            </w:r>
          </w:p>
        </w:tc>
      </w:tr>
      <w:tr w14:paraId="4AB27C6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34" w:type="pct"/>
            <w:vAlign w:val="center"/>
          </w:tcPr>
          <w:p w14:paraId="5560E724">
            <w:pPr>
              <w:widowControl/>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Nitrogen content (%)</w:t>
            </w:r>
          </w:p>
        </w:tc>
        <w:tc>
          <w:tcPr>
            <w:tcW w:w="1488" w:type="pct"/>
          </w:tcPr>
          <w:p w14:paraId="01902520">
            <w:pPr>
              <w:widowControl/>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N.A.</w:t>
            </w:r>
          </w:p>
        </w:tc>
        <w:tc>
          <w:tcPr>
            <w:tcW w:w="1178" w:type="pct"/>
            <w:vAlign w:val="center"/>
          </w:tcPr>
          <w:p w14:paraId="11ECF653">
            <w:pPr>
              <w:widowControl/>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4.32 ± 0.02</w:t>
            </w:r>
          </w:p>
        </w:tc>
      </w:tr>
      <w:tr w14:paraId="3DFBE89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34" w:type="pct"/>
            <w:vAlign w:val="center"/>
          </w:tcPr>
          <w:p w14:paraId="3C5AA3B7">
            <w:pPr>
              <w:widowControl/>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Sulfur content (%)</w:t>
            </w:r>
          </w:p>
        </w:tc>
        <w:tc>
          <w:tcPr>
            <w:tcW w:w="1488" w:type="pct"/>
          </w:tcPr>
          <w:p w14:paraId="7C47790C">
            <w:pPr>
              <w:widowControl/>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N.A.</w:t>
            </w:r>
          </w:p>
        </w:tc>
        <w:tc>
          <w:tcPr>
            <w:tcW w:w="1178" w:type="pct"/>
            <w:vAlign w:val="center"/>
          </w:tcPr>
          <w:p w14:paraId="5CFBABD5">
            <w:pPr>
              <w:widowControl/>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1.07 ± 0.05</w:t>
            </w:r>
          </w:p>
        </w:tc>
      </w:tr>
      <w:tr w14:paraId="773CF3D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34" w:type="pct"/>
            <w:vAlign w:val="center"/>
          </w:tcPr>
          <w:p w14:paraId="0415C285">
            <w:pPr>
              <w:widowControl/>
              <w:spacing w:line="360" w:lineRule="auto"/>
              <w:jc w:val="center"/>
              <w:rPr>
                <w:rFonts w:ascii="Times New Roman" w:hAnsi="Times New Roman" w:eastAsia="宋体" w:cs="Times New Roman"/>
                <w:sz w:val="24"/>
                <w:szCs w:val="24"/>
              </w:rPr>
            </w:pPr>
            <w:bookmarkStart w:id="8" w:name="_Hlk199664424"/>
            <w:r>
              <w:rPr>
                <w:rFonts w:ascii="Times New Roman" w:hAnsi="Times New Roman" w:eastAsia="宋体" w:cs="Times New Roman"/>
                <w:sz w:val="24"/>
                <w:szCs w:val="24"/>
              </w:rPr>
              <w:t>Protein content (%)</w:t>
            </w:r>
          </w:p>
        </w:tc>
        <w:tc>
          <w:tcPr>
            <w:tcW w:w="1488" w:type="pct"/>
          </w:tcPr>
          <w:p w14:paraId="51D41280">
            <w:pPr>
              <w:widowControl/>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N.A.</w:t>
            </w:r>
          </w:p>
        </w:tc>
        <w:tc>
          <w:tcPr>
            <w:tcW w:w="1178" w:type="pct"/>
            <w:vAlign w:val="center"/>
          </w:tcPr>
          <w:p w14:paraId="4FD69C74">
            <w:pPr>
              <w:widowControl/>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24.81 ± 0.64</w:t>
            </w:r>
          </w:p>
        </w:tc>
      </w:tr>
      <w:tr w14:paraId="168B7BD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34" w:type="pct"/>
            <w:vAlign w:val="center"/>
          </w:tcPr>
          <w:p w14:paraId="7862856B">
            <w:pPr>
              <w:widowControl/>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Fat content (%)</w:t>
            </w:r>
          </w:p>
        </w:tc>
        <w:tc>
          <w:tcPr>
            <w:tcW w:w="1488" w:type="pct"/>
          </w:tcPr>
          <w:p w14:paraId="76A55AAB">
            <w:pPr>
              <w:widowControl/>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N.A.</w:t>
            </w:r>
          </w:p>
        </w:tc>
        <w:tc>
          <w:tcPr>
            <w:tcW w:w="1178" w:type="pct"/>
            <w:vAlign w:val="center"/>
          </w:tcPr>
          <w:p w14:paraId="40945B9D">
            <w:pPr>
              <w:widowControl/>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24.22 ± 0.73</w:t>
            </w:r>
          </w:p>
        </w:tc>
      </w:tr>
      <w:tr w14:paraId="32B46E0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34" w:type="pct"/>
            <w:vAlign w:val="center"/>
          </w:tcPr>
          <w:p w14:paraId="001BA15C">
            <w:pPr>
              <w:widowControl/>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Carbohydrate content (%)</w:t>
            </w:r>
          </w:p>
        </w:tc>
        <w:tc>
          <w:tcPr>
            <w:tcW w:w="1488" w:type="pct"/>
          </w:tcPr>
          <w:p w14:paraId="3F09F241">
            <w:pPr>
              <w:widowControl/>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N.A.</w:t>
            </w:r>
          </w:p>
        </w:tc>
        <w:tc>
          <w:tcPr>
            <w:tcW w:w="1178" w:type="pct"/>
            <w:vAlign w:val="center"/>
          </w:tcPr>
          <w:p w14:paraId="7B9F8B6A">
            <w:pPr>
              <w:widowControl/>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50.42 ± 0.52</w:t>
            </w:r>
          </w:p>
        </w:tc>
      </w:tr>
      <w:tr w14:paraId="196B6E8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34" w:type="pct"/>
            <w:vAlign w:val="center"/>
          </w:tcPr>
          <w:p w14:paraId="5EF51B7A">
            <w:pPr>
              <w:widowControl/>
              <w:spacing w:line="360" w:lineRule="auto"/>
              <w:jc w:val="center"/>
              <w:rPr>
                <w:rFonts w:ascii="Times New Roman" w:hAnsi="Times New Roman" w:eastAsia="宋体" w:cs="Times New Roman"/>
                <w:sz w:val="24"/>
                <w:szCs w:val="24"/>
              </w:rPr>
            </w:pPr>
            <w:r>
              <w:rPr>
                <w:rFonts w:ascii="Times New Roman" w:hAnsi="Times New Roman" w:cs="Times New Roman"/>
                <w:sz w:val="24"/>
                <w:szCs w:val="28"/>
              </w:rPr>
              <w:t>Carbon-to-nitrogen</w:t>
            </w:r>
          </w:p>
        </w:tc>
        <w:tc>
          <w:tcPr>
            <w:tcW w:w="1488" w:type="pct"/>
          </w:tcPr>
          <w:p w14:paraId="7C2BF700">
            <w:pPr>
              <w:widowControl/>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N.A.</w:t>
            </w:r>
          </w:p>
        </w:tc>
        <w:tc>
          <w:tcPr>
            <w:tcW w:w="1178" w:type="pct"/>
            <w:vAlign w:val="center"/>
          </w:tcPr>
          <w:p w14:paraId="3DAFB97B">
            <w:pPr>
              <w:widowControl/>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12.15 ± 0.11</w:t>
            </w:r>
          </w:p>
        </w:tc>
      </w:tr>
      <w:bookmarkEnd w:id="6"/>
      <w:bookmarkEnd w:id="8"/>
    </w:tbl>
    <w:p w14:paraId="4EECBFA7">
      <w:pPr>
        <w:spacing w:line="360" w:lineRule="auto"/>
        <w:jc w:val="left"/>
        <w:rPr>
          <w:rFonts w:ascii="Times New Roman" w:hAnsi="Times New Roman" w:eastAsia="宋体" w:cs="Times New Roman"/>
          <w:sz w:val="24"/>
          <w:szCs w:val="28"/>
        </w:rPr>
      </w:pPr>
      <w:r>
        <w:rPr>
          <w:rFonts w:ascii="Times New Roman" w:hAnsi="Times New Roman" w:eastAsia="宋体" w:cs="Times New Roman"/>
          <w:sz w:val="24"/>
          <w:szCs w:val="24"/>
          <w:vertAlign w:val="superscript"/>
        </w:rPr>
        <w:t>a</w:t>
      </w:r>
      <w:r>
        <w:rPr>
          <w:rFonts w:ascii="Times New Roman" w:hAnsi="Times New Roman" w:eastAsia="宋体" w:cs="Times New Roman"/>
          <w:sz w:val="24"/>
          <w:szCs w:val="24"/>
        </w:rPr>
        <w:t xml:space="preserve"> Not applicable</w:t>
      </w:r>
    </w:p>
    <w:p w14:paraId="5915D147">
      <w:pPr>
        <w:widowControl/>
        <w:jc w:val="left"/>
        <w:rPr>
          <w:rFonts w:ascii="Times New Roman" w:hAnsi="Times New Roman" w:eastAsia="宋体" w:cs="Times New Roman"/>
          <w:sz w:val="24"/>
          <w:szCs w:val="28"/>
        </w:rPr>
      </w:pPr>
      <w:r>
        <w:rPr>
          <w:rFonts w:ascii="Times New Roman" w:hAnsi="Times New Roman" w:eastAsia="宋体" w:cs="Times New Roman"/>
          <w:sz w:val="24"/>
          <w:szCs w:val="28"/>
        </w:rPr>
        <w:br w:type="page"/>
      </w:r>
    </w:p>
    <w:p w14:paraId="4D427C13">
      <w:pPr>
        <w:widowControl/>
        <w:spacing w:line="480" w:lineRule="auto"/>
        <w:jc w:val="left"/>
        <w:rPr>
          <w:rFonts w:ascii="Times New Roman" w:hAnsi="Times New Roman" w:eastAsia="宋体" w:cs="Times New Roman"/>
          <w:b/>
          <w:bCs/>
          <w:sz w:val="24"/>
          <w:szCs w:val="28"/>
        </w:rPr>
      </w:pPr>
      <w:r>
        <w:rPr>
          <w:rFonts w:ascii="Times New Roman" w:hAnsi="Times New Roman" w:eastAsia="宋体" w:cs="Times New Roman"/>
          <w:b/>
          <w:bCs/>
          <w:sz w:val="24"/>
          <w:szCs w:val="28"/>
        </w:rPr>
        <w:t>Supplementary Table 2.2 Phase-specific linear mixed-effects model analysis of TAN concentration differences between the CK and MG groups.</w:t>
      </w:r>
    </w:p>
    <w:tbl>
      <w:tblPr>
        <w:tblStyle w:val="8"/>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91"/>
        <w:gridCol w:w="2974"/>
        <w:gridCol w:w="1941"/>
        <w:gridCol w:w="1328"/>
        <w:gridCol w:w="1103"/>
        <w:gridCol w:w="1101"/>
      </w:tblGrid>
      <w:tr w14:paraId="1B0D5BA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0" w:hRule="atLeast"/>
          <w:jc w:val="center"/>
        </w:trPr>
        <w:tc>
          <w:tcPr>
            <w:tcW w:w="618" w:type="pct"/>
            <w:vAlign w:val="center"/>
          </w:tcPr>
          <w:p w14:paraId="45F4A4CD">
            <w:pPr>
              <w:widowControl/>
              <w:spacing w:line="360" w:lineRule="auto"/>
              <w:jc w:val="center"/>
              <w:rPr>
                <w:rFonts w:ascii="Times New Roman" w:hAnsi="Times New Roman" w:eastAsia="等线" w:cs="Times New Roman"/>
                <w:color w:val="000000"/>
                <w:kern w:val="0"/>
                <w:sz w:val="24"/>
                <w:szCs w:val="24"/>
              </w:rPr>
            </w:pPr>
            <w:bookmarkStart w:id="9" w:name="OLE_LINK7"/>
            <w:r>
              <w:rPr>
                <w:rFonts w:ascii="Times New Roman" w:hAnsi="Times New Roman" w:eastAsia="等线" w:cs="Times New Roman"/>
                <w:color w:val="000000"/>
                <w:kern w:val="0"/>
                <w:sz w:val="24"/>
                <w:szCs w:val="24"/>
              </w:rPr>
              <w:t>Phase</w:t>
            </w:r>
          </w:p>
        </w:tc>
        <w:tc>
          <w:tcPr>
            <w:tcW w:w="1543" w:type="pct"/>
            <w:vAlign w:val="center"/>
          </w:tcPr>
          <w:p w14:paraId="55632782">
            <w:pPr>
              <w:widowControl/>
              <w:spacing w:line="360" w:lineRule="auto"/>
              <w:jc w:val="center"/>
              <w:rPr>
                <w:rFonts w:ascii="Times New Roman" w:hAnsi="Times New Roman" w:eastAsia="等线" w:cs="Times New Roman"/>
                <w:color w:val="000000"/>
                <w:kern w:val="0"/>
                <w:sz w:val="24"/>
                <w:szCs w:val="24"/>
              </w:rPr>
            </w:pPr>
            <w:r>
              <w:rPr>
                <w:rFonts w:ascii="Times New Roman" w:hAnsi="Times New Roman" w:eastAsia="等线" w:cs="Times New Roman"/>
                <w:color w:val="000000"/>
                <w:kern w:val="0"/>
                <w:sz w:val="24"/>
                <w:szCs w:val="24"/>
              </w:rPr>
              <w:t>CK−MG estimate</w:t>
            </w:r>
          </w:p>
        </w:tc>
        <w:tc>
          <w:tcPr>
            <w:tcW w:w="1007" w:type="pct"/>
            <w:vAlign w:val="center"/>
          </w:tcPr>
          <w:p w14:paraId="57EF9AAA">
            <w:pPr>
              <w:widowControl/>
              <w:spacing w:line="360" w:lineRule="auto"/>
              <w:jc w:val="center"/>
              <w:rPr>
                <w:rFonts w:ascii="Times New Roman" w:hAnsi="Times New Roman" w:eastAsia="等线" w:cs="Times New Roman"/>
                <w:color w:val="000000"/>
                <w:kern w:val="0"/>
                <w:sz w:val="24"/>
                <w:szCs w:val="24"/>
              </w:rPr>
            </w:pPr>
            <w:r>
              <w:rPr>
                <w:rFonts w:ascii="Times New Roman" w:hAnsi="Times New Roman" w:eastAsia="等线" w:cs="Times New Roman"/>
                <w:color w:val="000000"/>
                <w:kern w:val="0"/>
                <w:sz w:val="24"/>
                <w:szCs w:val="24"/>
              </w:rPr>
              <w:t xml:space="preserve">Adjusted </w:t>
            </w:r>
            <w:r>
              <w:rPr>
                <w:rFonts w:ascii="Times New Roman" w:hAnsi="Times New Roman" w:eastAsia="等线" w:cs="Times New Roman"/>
                <w:i/>
                <w:iCs/>
                <w:color w:val="000000"/>
                <w:kern w:val="0"/>
                <w:sz w:val="24"/>
                <w:szCs w:val="24"/>
              </w:rPr>
              <w:t>p</w:t>
            </w:r>
          </w:p>
        </w:tc>
        <w:tc>
          <w:tcPr>
            <w:tcW w:w="689" w:type="pct"/>
            <w:vAlign w:val="center"/>
          </w:tcPr>
          <w:p w14:paraId="1E0D4FF0">
            <w:pPr>
              <w:widowControl/>
              <w:spacing w:line="360" w:lineRule="auto"/>
              <w:jc w:val="center"/>
              <w:rPr>
                <w:rFonts w:ascii="Times New Roman" w:hAnsi="Times New Roman" w:eastAsia="等线" w:cs="Times New Roman"/>
                <w:color w:val="000000"/>
                <w:kern w:val="0"/>
                <w:sz w:val="24"/>
                <w:szCs w:val="24"/>
              </w:rPr>
            </w:pPr>
            <w:r>
              <w:rPr>
                <w:rFonts w:ascii="Times New Roman" w:hAnsi="Times New Roman" w:eastAsia="等线" w:cs="Times New Roman"/>
                <w:color w:val="000000"/>
                <w:kern w:val="0"/>
                <w:sz w:val="24"/>
                <w:szCs w:val="24"/>
              </w:rPr>
              <w:t xml:space="preserve">RMSE </w:t>
            </w:r>
            <w:r>
              <w:rPr>
                <w:rFonts w:ascii="Times New Roman" w:hAnsi="Times New Roman" w:eastAsia="等线" w:cs="Times New Roman"/>
                <w:color w:val="000000"/>
                <w:kern w:val="0"/>
                <w:sz w:val="24"/>
                <w:szCs w:val="24"/>
                <w:vertAlign w:val="superscript"/>
              </w:rPr>
              <w:t>a</w:t>
            </w:r>
          </w:p>
        </w:tc>
        <w:tc>
          <w:tcPr>
            <w:tcW w:w="572" w:type="pct"/>
            <w:vAlign w:val="center"/>
          </w:tcPr>
          <w:p w14:paraId="7FC07E67">
            <w:pPr>
              <w:widowControl/>
              <w:spacing w:line="360" w:lineRule="auto"/>
              <w:jc w:val="center"/>
              <w:rPr>
                <w:rFonts w:ascii="Times New Roman" w:hAnsi="Times New Roman" w:eastAsia="等线" w:cs="Times New Roman"/>
                <w:color w:val="000000"/>
                <w:kern w:val="0"/>
                <w:sz w:val="24"/>
                <w:szCs w:val="24"/>
              </w:rPr>
            </w:pPr>
            <w:r>
              <w:rPr>
                <w:rFonts w:ascii="Times New Roman" w:hAnsi="Times New Roman" w:eastAsia="等线" w:cs="Times New Roman"/>
                <w:color w:val="000000"/>
                <w:kern w:val="0"/>
                <w:sz w:val="24"/>
                <w:szCs w:val="24"/>
              </w:rPr>
              <w:t>R</w:t>
            </w:r>
            <w:r>
              <w:rPr>
                <w:rFonts w:ascii="Times New Roman" w:hAnsi="Times New Roman" w:eastAsia="等线" w:cs="Times New Roman"/>
                <w:color w:val="000000"/>
                <w:kern w:val="0"/>
                <w:sz w:val="24"/>
                <w:szCs w:val="24"/>
                <w:vertAlign w:val="superscript"/>
              </w:rPr>
              <w:t>2</w:t>
            </w:r>
            <w:r>
              <w:rPr>
                <w:rFonts w:ascii="Times New Roman" w:hAnsi="Times New Roman" w:eastAsia="等线" w:cs="Times New Roman"/>
                <w:color w:val="000000"/>
                <w:kern w:val="0"/>
                <w:sz w:val="24"/>
                <w:szCs w:val="24"/>
              </w:rPr>
              <w:t xml:space="preserve">m </w:t>
            </w:r>
            <w:r>
              <w:rPr>
                <w:rFonts w:ascii="Times New Roman" w:hAnsi="Times New Roman" w:eastAsia="等线" w:cs="Times New Roman"/>
                <w:color w:val="000000"/>
                <w:kern w:val="0"/>
                <w:sz w:val="24"/>
                <w:szCs w:val="24"/>
                <w:vertAlign w:val="superscript"/>
              </w:rPr>
              <w:t>b</w:t>
            </w:r>
          </w:p>
        </w:tc>
        <w:tc>
          <w:tcPr>
            <w:tcW w:w="571" w:type="pct"/>
            <w:vAlign w:val="center"/>
          </w:tcPr>
          <w:p w14:paraId="16BE3BEB">
            <w:pPr>
              <w:widowControl/>
              <w:spacing w:line="360" w:lineRule="auto"/>
              <w:jc w:val="center"/>
              <w:rPr>
                <w:rFonts w:ascii="Times New Roman" w:hAnsi="Times New Roman" w:eastAsia="等线" w:cs="Times New Roman"/>
                <w:color w:val="000000"/>
                <w:kern w:val="0"/>
                <w:sz w:val="24"/>
                <w:szCs w:val="24"/>
              </w:rPr>
            </w:pPr>
            <w:r>
              <w:rPr>
                <w:rFonts w:ascii="Times New Roman" w:hAnsi="Times New Roman" w:eastAsia="等线" w:cs="Times New Roman"/>
                <w:color w:val="000000"/>
                <w:kern w:val="0"/>
                <w:sz w:val="24"/>
                <w:szCs w:val="24"/>
              </w:rPr>
              <w:t>R</w:t>
            </w:r>
            <w:r>
              <w:rPr>
                <w:rFonts w:ascii="Times New Roman" w:hAnsi="Times New Roman" w:eastAsia="等线" w:cs="Times New Roman"/>
                <w:color w:val="000000"/>
                <w:kern w:val="0"/>
                <w:sz w:val="24"/>
                <w:szCs w:val="24"/>
                <w:vertAlign w:val="superscript"/>
              </w:rPr>
              <w:t>2</w:t>
            </w:r>
            <w:r>
              <w:rPr>
                <w:rFonts w:ascii="Times New Roman" w:hAnsi="Times New Roman" w:eastAsia="等线" w:cs="Times New Roman"/>
                <w:color w:val="000000"/>
                <w:kern w:val="0"/>
                <w:sz w:val="24"/>
                <w:szCs w:val="24"/>
              </w:rPr>
              <w:t xml:space="preserve">c </w:t>
            </w:r>
            <w:r>
              <w:rPr>
                <w:rFonts w:ascii="Times New Roman" w:hAnsi="Times New Roman" w:eastAsia="等线" w:cs="Times New Roman"/>
                <w:color w:val="000000"/>
                <w:kern w:val="0"/>
                <w:sz w:val="24"/>
                <w:szCs w:val="24"/>
                <w:vertAlign w:val="superscript"/>
              </w:rPr>
              <w:t>c</w:t>
            </w:r>
          </w:p>
        </w:tc>
      </w:tr>
      <w:tr w14:paraId="67BAB95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jc w:val="center"/>
        </w:trPr>
        <w:tc>
          <w:tcPr>
            <w:tcW w:w="618" w:type="pct"/>
            <w:tcBorders>
              <w:top w:val="single" w:color="auto" w:sz="8" w:space="0"/>
            </w:tcBorders>
            <w:vAlign w:val="center"/>
          </w:tcPr>
          <w:p w14:paraId="6A81A866">
            <w:pPr>
              <w:widowControl/>
              <w:spacing w:line="360" w:lineRule="auto"/>
              <w:jc w:val="center"/>
              <w:rPr>
                <w:rFonts w:ascii="Times New Roman" w:hAnsi="Times New Roman" w:eastAsia="等线" w:cs="Times New Roman"/>
                <w:color w:val="000000"/>
                <w:kern w:val="0"/>
                <w:sz w:val="24"/>
                <w:szCs w:val="24"/>
              </w:rPr>
            </w:pPr>
            <w:r>
              <w:rPr>
                <w:rFonts w:ascii="Times New Roman" w:hAnsi="Times New Roman" w:eastAsia="等线" w:cs="Times New Roman"/>
                <w:color w:val="000000"/>
                <w:kern w:val="0"/>
                <w:sz w:val="24"/>
                <w:szCs w:val="24"/>
              </w:rPr>
              <w:t>I</w:t>
            </w:r>
          </w:p>
        </w:tc>
        <w:tc>
          <w:tcPr>
            <w:tcW w:w="1543" w:type="pct"/>
            <w:tcBorders>
              <w:top w:val="single" w:color="auto" w:sz="8" w:space="0"/>
            </w:tcBorders>
            <w:vAlign w:val="center"/>
          </w:tcPr>
          <w:p w14:paraId="0B263AA2">
            <w:pPr>
              <w:widowControl/>
              <w:spacing w:line="360" w:lineRule="auto"/>
              <w:jc w:val="center"/>
              <w:rPr>
                <w:rFonts w:ascii="Times New Roman" w:hAnsi="Times New Roman" w:eastAsia="等线" w:cs="Times New Roman"/>
                <w:color w:val="000000"/>
                <w:kern w:val="0"/>
                <w:sz w:val="24"/>
                <w:szCs w:val="24"/>
              </w:rPr>
            </w:pPr>
            <w:r>
              <w:rPr>
                <w:rFonts w:ascii="Times New Roman" w:hAnsi="Times New Roman" w:eastAsia="等线" w:cs="Times New Roman"/>
                <w:color w:val="000000"/>
                <w:kern w:val="0"/>
                <w:sz w:val="24"/>
                <w:szCs w:val="24"/>
              </w:rPr>
              <w:t>34.655</w:t>
            </w:r>
          </w:p>
        </w:tc>
        <w:tc>
          <w:tcPr>
            <w:tcW w:w="1007" w:type="pct"/>
            <w:tcBorders>
              <w:top w:val="single" w:color="auto" w:sz="8" w:space="0"/>
            </w:tcBorders>
            <w:vAlign w:val="center"/>
          </w:tcPr>
          <w:p w14:paraId="54A409B4">
            <w:pPr>
              <w:widowControl/>
              <w:spacing w:line="360" w:lineRule="auto"/>
              <w:jc w:val="center"/>
              <w:rPr>
                <w:rFonts w:ascii="Times New Roman" w:hAnsi="Times New Roman" w:eastAsia="等线" w:cs="Times New Roman"/>
                <w:color w:val="000000"/>
                <w:kern w:val="0"/>
                <w:sz w:val="24"/>
                <w:szCs w:val="24"/>
              </w:rPr>
            </w:pPr>
            <w:r>
              <w:rPr>
                <w:rFonts w:ascii="Times New Roman" w:hAnsi="Times New Roman" w:eastAsia="等线" w:cs="Times New Roman"/>
                <w:color w:val="000000"/>
                <w:kern w:val="0"/>
                <w:sz w:val="24"/>
                <w:szCs w:val="24"/>
              </w:rPr>
              <w:t>&lt;0.001</w:t>
            </w:r>
          </w:p>
        </w:tc>
        <w:tc>
          <w:tcPr>
            <w:tcW w:w="689" w:type="pct"/>
            <w:tcBorders>
              <w:top w:val="single" w:color="auto" w:sz="8" w:space="0"/>
            </w:tcBorders>
            <w:vAlign w:val="center"/>
          </w:tcPr>
          <w:p w14:paraId="341528B7">
            <w:pPr>
              <w:widowControl/>
              <w:spacing w:line="360" w:lineRule="auto"/>
              <w:jc w:val="center"/>
              <w:rPr>
                <w:rFonts w:ascii="Times New Roman" w:hAnsi="Times New Roman" w:eastAsia="等线" w:cs="Times New Roman"/>
                <w:color w:val="000000"/>
                <w:kern w:val="0"/>
                <w:sz w:val="24"/>
                <w:szCs w:val="24"/>
              </w:rPr>
            </w:pPr>
            <w:r>
              <w:rPr>
                <w:rFonts w:ascii="Times New Roman" w:hAnsi="Times New Roman" w:eastAsia="等线" w:cs="Times New Roman"/>
                <w:color w:val="000000"/>
                <w:kern w:val="0"/>
                <w:sz w:val="24"/>
                <w:szCs w:val="24"/>
              </w:rPr>
              <w:t>7.911</w:t>
            </w:r>
          </w:p>
        </w:tc>
        <w:tc>
          <w:tcPr>
            <w:tcW w:w="572" w:type="pct"/>
            <w:tcBorders>
              <w:top w:val="single" w:color="auto" w:sz="8" w:space="0"/>
            </w:tcBorders>
            <w:vAlign w:val="center"/>
          </w:tcPr>
          <w:p w14:paraId="2AC7C4A8">
            <w:pPr>
              <w:widowControl/>
              <w:spacing w:line="360" w:lineRule="auto"/>
              <w:jc w:val="center"/>
              <w:rPr>
                <w:rFonts w:ascii="Times New Roman" w:hAnsi="Times New Roman" w:eastAsia="等线" w:cs="Times New Roman"/>
                <w:color w:val="000000"/>
                <w:kern w:val="0"/>
                <w:sz w:val="24"/>
                <w:szCs w:val="24"/>
              </w:rPr>
            </w:pPr>
            <w:r>
              <w:rPr>
                <w:rFonts w:ascii="Times New Roman" w:hAnsi="Times New Roman" w:eastAsia="等线" w:cs="Times New Roman"/>
                <w:color w:val="000000"/>
                <w:kern w:val="0"/>
                <w:sz w:val="24"/>
                <w:szCs w:val="24"/>
              </w:rPr>
              <w:t>0.945</w:t>
            </w:r>
          </w:p>
        </w:tc>
        <w:tc>
          <w:tcPr>
            <w:tcW w:w="571" w:type="pct"/>
            <w:tcBorders>
              <w:top w:val="single" w:color="auto" w:sz="8" w:space="0"/>
            </w:tcBorders>
            <w:vAlign w:val="center"/>
          </w:tcPr>
          <w:p w14:paraId="4CD02225">
            <w:pPr>
              <w:widowControl/>
              <w:spacing w:line="360" w:lineRule="auto"/>
              <w:jc w:val="center"/>
              <w:rPr>
                <w:rFonts w:ascii="Times New Roman" w:hAnsi="Times New Roman" w:eastAsia="等线" w:cs="Times New Roman"/>
                <w:color w:val="000000"/>
                <w:kern w:val="0"/>
                <w:sz w:val="24"/>
                <w:szCs w:val="24"/>
              </w:rPr>
            </w:pPr>
            <w:r>
              <w:rPr>
                <w:rFonts w:ascii="Times New Roman" w:hAnsi="Times New Roman" w:eastAsia="等线" w:cs="Times New Roman"/>
                <w:color w:val="000000"/>
                <w:kern w:val="0"/>
                <w:sz w:val="24"/>
                <w:szCs w:val="24"/>
              </w:rPr>
              <w:t>0.983</w:t>
            </w:r>
          </w:p>
        </w:tc>
      </w:tr>
      <w:tr w14:paraId="780EA87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jc w:val="center"/>
        </w:trPr>
        <w:tc>
          <w:tcPr>
            <w:tcW w:w="618" w:type="pct"/>
            <w:vAlign w:val="center"/>
          </w:tcPr>
          <w:p w14:paraId="0165E90D">
            <w:pPr>
              <w:widowControl/>
              <w:spacing w:line="360" w:lineRule="auto"/>
              <w:jc w:val="center"/>
              <w:rPr>
                <w:rFonts w:ascii="Times New Roman" w:hAnsi="Times New Roman" w:eastAsia="等线" w:cs="Times New Roman"/>
                <w:color w:val="000000"/>
                <w:kern w:val="0"/>
                <w:sz w:val="24"/>
                <w:szCs w:val="24"/>
              </w:rPr>
            </w:pPr>
            <w:r>
              <w:rPr>
                <w:rFonts w:ascii="Times New Roman" w:hAnsi="Times New Roman" w:eastAsia="等线" w:cs="Times New Roman"/>
                <w:color w:val="000000"/>
                <w:kern w:val="0"/>
                <w:sz w:val="24"/>
                <w:szCs w:val="24"/>
              </w:rPr>
              <w:t>Ⅱ</w:t>
            </w:r>
          </w:p>
        </w:tc>
        <w:tc>
          <w:tcPr>
            <w:tcW w:w="1543" w:type="pct"/>
            <w:vAlign w:val="center"/>
          </w:tcPr>
          <w:p w14:paraId="3DAA370B">
            <w:pPr>
              <w:widowControl/>
              <w:spacing w:line="360" w:lineRule="auto"/>
              <w:jc w:val="center"/>
              <w:rPr>
                <w:rFonts w:ascii="Times New Roman" w:hAnsi="Times New Roman" w:eastAsia="等线" w:cs="Times New Roman"/>
                <w:color w:val="000000"/>
                <w:kern w:val="0"/>
                <w:sz w:val="24"/>
                <w:szCs w:val="24"/>
              </w:rPr>
            </w:pPr>
            <w:r>
              <w:rPr>
                <w:rFonts w:ascii="Times New Roman" w:hAnsi="Times New Roman" w:eastAsia="等线" w:cs="Times New Roman"/>
                <w:color w:val="000000"/>
                <w:kern w:val="0"/>
                <w:sz w:val="24"/>
                <w:szCs w:val="24"/>
              </w:rPr>
              <w:t>237.437</w:t>
            </w:r>
          </w:p>
        </w:tc>
        <w:tc>
          <w:tcPr>
            <w:tcW w:w="1007" w:type="pct"/>
            <w:vAlign w:val="center"/>
          </w:tcPr>
          <w:p w14:paraId="460E77FD">
            <w:pPr>
              <w:widowControl/>
              <w:spacing w:line="360" w:lineRule="auto"/>
              <w:jc w:val="center"/>
              <w:rPr>
                <w:rFonts w:ascii="Times New Roman" w:hAnsi="Times New Roman" w:eastAsia="等线" w:cs="Times New Roman"/>
                <w:color w:val="000000"/>
                <w:kern w:val="0"/>
                <w:sz w:val="24"/>
                <w:szCs w:val="24"/>
              </w:rPr>
            </w:pPr>
            <w:r>
              <w:rPr>
                <w:rFonts w:ascii="Times New Roman" w:hAnsi="Times New Roman" w:eastAsia="等线" w:cs="Times New Roman"/>
                <w:color w:val="000000"/>
                <w:kern w:val="0"/>
                <w:sz w:val="24"/>
                <w:szCs w:val="24"/>
              </w:rPr>
              <w:t>&lt;0.001</w:t>
            </w:r>
          </w:p>
        </w:tc>
        <w:tc>
          <w:tcPr>
            <w:tcW w:w="689" w:type="pct"/>
            <w:vAlign w:val="center"/>
          </w:tcPr>
          <w:p w14:paraId="341E05CB">
            <w:pPr>
              <w:widowControl/>
              <w:spacing w:line="360" w:lineRule="auto"/>
              <w:jc w:val="center"/>
              <w:rPr>
                <w:rFonts w:ascii="Times New Roman" w:hAnsi="Times New Roman" w:eastAsia="等线" w:cs="Times New Roman"/>
                <w:color w:val="000000"/>
                <w:kern w:val="0"/>
                <w:sz w:val="24"/>
                <w:szCs w:val="24"/>
              </w:rPr>
            </w:pPr>
            <w:r>
              <w:rPr>
                <w:rFonts w:ascii="Times New Roman" w:hAnsi="Times New Roman" w:eastAsia="等线" w:cs="Times New Roman"/>
                <w:color w:val="000000"/>
                <w:kern w:val="0"/>
                <w:sz w:val="24"/>
                <w:szCs w:val="24"/>
              </w:rPr>
              <w:t>8.085</w:t>
            </w:r>
          </w:p>
        </w:tc>
        <w:tc>
          <w:tcPr>
            <w:tcW w:w="572" w:type="pct"/>
            <w:vAlign w:val="center"/>
          </w:tcPr>
          <w:p w14:paraId="7ED11143">
            <w:pPr>
              <w:widowControl/>
              <w:spacing w:line="360" w:lineRule="auto"/>
              <w:jc w:val="center"/>
              <w:rPr>
                <w:rFonts w:ascii="Times New Roman" w:hAnsi="Times New Roman" w:eastAsia="等线" w:cs="Times New Roman"/>
                <w:color w:val="000000"/>
                <w:kern w:val="0"/>
                <w:sz w:val="24"/>
                <w:szCs w:val="24"/>
              </w:rPr>
            </w:pPr>
            <w:r>
              <w:rPr>
                <w:rFonts w:ascii="Times New Roman" w:hAnsi="Times New Roman" w:eastAsia="等线" w:cs="Times New Roman"/>
                <w:color w:val="000000"/>
                <w:kern w:val="0"/>
                <w:sz w:val="24"/>
                <w:szCs w:val="24"/>
              </w:rPr>
              <w:t>0.98</w:t>
            </w:r>
          </w:p>
        </w:tc>
        <w:tc>
          <w:tcPr>
            <w:tcW w:w="571" w:type="pct"/>
            <w:vAlign w:val="center"/>
          </w:tcPr>
          <w:p w14:paraId="35903359">
            <w:pPr>
              <w:widowControl/>
              <w:spacing w:line="360" w:lineRule="auto"/>
              <w:jc w:val="center"/>
              <w:rPr>
                <w:rFonts w:ascii="Times New Roman" w:hAnsi="Times New Roman" w:eastAsia="等线" w:cs="Times New Roman"/>
                <w:color w:val="000000"/>
                <w:kern w:val="0"/>
                <w:sz w:val="24"/>
                <w:szCs w:val="24"/>
              </w:rPr>
            </w:pPr>
            <w:r>
              <w:rPr>
                <w:rFonts w:ascii="Times New Roman" w:hAnsi="Times New Roman" w:eastAsia="等线" w:cs="Times New Roman"/>
                <w:color w:val="000000"/>
                <w:kern w:val="0"/>
                <w:sz w:val="24"/>
                <w:szCs w:val="24"/>
              </w:rPr>
              <w:t>0.995</w:t>
            </w:r>
          </w:p>
        </w:tc>
      </w:tr>
      <w:tr w14:paraId="7877E8E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jc w:val="center"/>
        </w:trPr>
        <w:tc>
          <w:tcPr>
            <w:tcW w:w="618" w:type="pct"/>
            <w:vAlign w:val="center"/>
          </w:tcPr>
          <w:p w14:paraId="65627E01">
            <w:pPr>
              <w:widowControl/>
              <w:spacing w:line="360" w:lineRule="auto"/>
              <w:jc w:val="center"/>
              <w:rPr>
                <w:rFonts w:ascii="Times New Roman" w:hAnsi="Times New Roman" w:eastAsia="等线" w:cs="Times New Roman"/>
                <w:color w:val="000000"/>
                <w:kern w:val="0"/>
                <w:sz w:val="24"/>
                <w:szCs w:val="24"/>
              </w:rPr>
            </w:pPr>
            <w:r>
              <w:rPr>
                <w:rFonts w:ascii="Times New Roman" w:hAnsi="Times New Roman" w:eastAsia="等线" w:cs="Times New Roman"/>
                <w:color w:val="000000"/>
                <w:kern w:val="0"/>
                <w:sz w:val="24"/>
                <w:szCs w:val="24"/>
              </w:rPr>
              <w:t>Ⅲ</w:t>
            </w:r>
          </w:p>
        </w:tc>
        <w:tc>
          <w:tcPr>
            <w:tcW w:w="1543" w:type="pct"/>
            <w:vAlign w:val="center"/>
          </w:tcPr>
          <w:p w14:paraId="0E88C801">
            <w:pPr>
              <w:widowControl/>
              <w:spacing w:line="360" w:lineRule="auto"/>
              <w:jc w:val="center"/>
              <w:rPr>
                <w:rFonts w:ascii="Times New Roman" w:hAnsi="Times New Roman" w:eastAsia="等线" w:cs="Times New Roman"/>
                <w:color w:val="000000"/>
                <w:kern w:val="0"/>
                <w:sz w:val="24"/>
                <w:szCs w:val="24"/>
              </w:rPr>
            </w:pPr>
            <w:r>
              <w:rPr>
                <w:rFonts w:ascii="Times New Roman" w:hAnsi="Times New Roman" w:eastAsia="等线" w:cs="Times New Roman"/>
                <w:color w:val="000000"/>
                <w:kern w:val="0"/>
                <w:sz w:val="24"/>
                <w:szCs w:val="24"/>
              </w:rPr>
              <w:t>455.254</w:t>
            </w:r>
          </w:p>
        </w:tc>
        <w:tc>
          <w:tcPr>
            <w:tcW w:w="1007" w:type="pct"/>
            <w:vAlign w:val="center"/>
          </w:tcPr>
          <w:p w14:paraId="306D8776">
            <w:pPr>
              <w:widowControl/>
              <w:spacing w:line="360" w:lineRule="auto"/>
              <w:jc w:val="center"/>
              <w:rPr>
                <w:rFonts w:ascii="Times New Roman" w:hAnsi="Times New Roman" w:eastAsia="等线" w:cs="Times New Roman"/>
                <w:color w:val="000000"/>
                <w:kern w:val="0"/>
                <w:sz w:val="24"/>
                <w:szCs w:val="24"/>
              </w:rPr>
            </w:pPr>
            <w:r>
              <w:rPr>
                <w:rFonts w:ascii="Times New Roman" w:hAnsi="Times New Roman" w:eastAsia="等线" w:cs="Times New Roman"/>
                <w:color w:val="000000"/>
                <w:kern w:val="0"/>
                <w:sz w:val="24"/>
                <w:szCs w:val="24"/>
              </w:rPr>
              <w:t>&lt;0.001</w:t>
            </w:r>
          </w:p>
        </w:tc>
        <w:tc>
          <w:tcPr>
            <w:tcW w:w="689" w:type="pct"/>
            <w:vAlign w:val="center"/>
          </w:tcPr>
          <w:p w14:paraId="74F27D13">
            <w:pPr>
              <w:widowControl/>
              <w:spacing w:line="360" w:lineRule="auto"/>
              <w:jc w:val="center"/>
              <w:rPr>
                <w:rFonts w:ascii="Times New Roman" w:hAnsi="Times New Roman" w:eastAsia="等线" w:cs="Times New Roman"/>
                <w:color w:val="000000"/>
                <w:kern w:val="0"/>
                <w:sz w:val="24"/>
                <w:szCs w:val="24"/>
              </w:rPr>
            </w:pPr>
            <w:r>
              <w:rPr>
                <w:rFonts w:ascii="Times New Roman" w:hAnsi="Times New Roman" w:eastAsia="等线" w:cs="Times New Roman"/>
                <w:color w:val="000000"/>
                <w:kern w:val="0"/>
                <w:sz w:val="24"/>
                <w:szCs w:val="24"/>
              </w:rPr>
              <w:t>6.625</w:t>
            </w:r>
          </w:p>
        </w:tc>
        <w:tc>
          <w:tcPr>
            <w:tcW w:w="572" w:type="pct"/>
            <w:vAlign w:val="center"/>
          </w:tcPr>
          <w:p w14:paraId="15B53F7C">
            <w:pPr>
              <w:widowControl/>
              <w:spacing w:line="360" w:lineRule="auto"/>
              <w:jc w:val="center"/>
              <w:rPr>
                <w:rFonts w:ascii="Times New Roman" w:hAnsi="Times New Roman" w:eastAsia="等线" w:cs="Times New Roman"/>
                <w:color w:val="000000"/>
                <w:kern w:val="0"/>
                <w:sz w:val="24"/>
                <w:szCs w:val="24"/>
              </w:rPr>
            </w:pPr>
            <w:r>
              <w:rPr>
                <w:rFonts w:ascii="Times New Roman" w:hAnsi="Times New Roman" w:eastAsia="等线" w:cs="Times New Roman"/>
                <w:color w:val="000000"/>
                <w:kern w:val="0"/>
                <w:sz w:val="24"/>
                <w:szCs w:val="24"/>
              </w:rPr>
              <w:t>0.993</w:t>
            </w:r>
          </w:p>
        </w:tc>
        <w:tc>
          <w:tcPr>
            <w:tcW w:w="571" w:type="pct"/>
            <w:vAlign w:val="center"/>
          </w:tcPr>
          <w:p w14:paraId="65513C01">
            <w:pPr>
              <w:widowControl/>
              <w:spacing w:line="360" w:lineRule="auto"/>
              <w:jc w:val="center"/>
              <w:rPr>
                <w:rFonts w:ascii="Times New Roman" w:hAnsi="Times New Roman" w:eastAsia="等线" w:cs="Times New Roman"/>
                <w:color w:val="000000"/>
                <w:kern w:val="0"/>
                <w:sz w:val="24"/>
                <w:szCs w:val="24"/>
              </w:rPr>
            </w:pPr>
            <w:r>
              <w:rPr>
                <w:rFonts w:ascii="Times New Roman" w:hAnsi="Times New Roman" w:eastAsia="等线" w:cs="Times New Roman"/>
                <w:color w:val="000000"/>
                <w:kern w:val="0"/>
                <w:sz w:val="24"/>
                <w:szCs w:val="24"/>
              </w:rPr>
              <w:t>0.999</w:t>
            </w:r>
          </w:p>
        </w:tc>
      </w:tr>
      <w:tr w14:paraId="24E85C0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jc w:val="center"/>
        </w:trPr>
        <w:tc>
          <w:tcPr>
            <w:tcW w:w="618" w:type="pct"/>
            <w:vAlign w:val="center"/>
          </w:tcPr>
          <w:p w14:paraId="2B2EA708">
            <w:pPr>
              <w:widowControl/>
              <w:spacing w:line="360" w:lineRule="auto"/>
              <w:jc w:val="center"/>
              <w:rPr>
                <w:rFonts w:ascii="Times New Roman" w:hAnsi="Times New Roman" w:eastAsia="等线" w:cs="Times New Roman"/>
                <w:color w:val="000000"/>
                <w:kern w:val="0"/>
                <w:sz w:val="24"/>
                <w:szCs w:val="24"/>
              </w:rPr>
            </w:pPr>
            <w:r>
              <w:rPr>
                <w:rFonts w:ascii="Times New Roman" w:hAnsi="Times New Roman" w:eastAsia="等线" w:cs="Times New Roman"/>
                <w:color w:val="000000"/>
                <w:kern w:val="0"/>
                <w:sz w:val="24"/>
                <w:szCs w:val="24"/>
              </w:rPr>
              <w:t>Ⅳ</w:t>
            </w:r>
          </w:p>
        </w:tc>
        <w:tc>
          <w:tcPr>
            <w:tcW w:w="1543" w:type="pct"/>
            <w:vAlign w:val="center"/>
          </w:tcPr>
          <w:p w14:paraId="37CAB1E7">
            <w:pPr>
              <w:widowControl/>
              <w:spacing w:line="360" w:lineRule="auto"/>
              <w:jc w:val="center"/>
              <w:rPr>
                <w:rFonts w:ascii="Times New Roman" w:hAnsi="Times New Roman" w:eastAsia="等线" w:cs="Times New Roman"/>
                <w:color w:val="000000"/>
                <w:kern w:val="0"/>
                <w:sz w:val="24"/>
                <w:szCs w:val="24"/>
              </w:rPr>
            </w:pPr>
            <w:r>
              <w:rPr>
                <w:rFonts w:ascii="Times New Roman" w:hAnsi="Times New Roman" w:eastAsia="等线" w:cs="Times New Roman"/>
                <w:color w:val="000000"/>
                <w:kern w:val="0"/>
                <w:sz w:val="24"/>
                <w:szCs w:val="24"/>
              </w:rPr>
              <w:t>560.109</w:t>
            </w:r>
          </w:p>
        </w:tc>
        <w:tc>
          <w:tcPr>
            <w:tcW w:w="1007" w:type="pct"/>
            <w:vAlign w:val="center"/>
          </w:tcPr>
          <w:p w14:paraId="7617B625">
            <w:pPr>
              <w:widowControl/>
              <w:spacing w:line="360" w:lineRule="auto"/>
              <w:jc w:val="center"/>
              <w:rPr>
                <w:rFonts w:ascii="Times New Roman" w:hAnsi="Times New Roman" w:eastAsia="等线" w:cs="Times New Roman"/>
                <w:color w:val="000000"/>
                <w:kern w:val="0"/>
                <w:sz w:val="24"/>
                <w:szCs w:val="24"/>
              </w:rPr>
            </w:pPr>
            <w:r>
              <w:rPr>
                <w:rFonts w:ascii="Times New Roman" w:hAnsi="Times New Roman" w:eastAsia="等线" w:cs="Times New Roman"/>
                <w:color w:val="000000"/>
                <w:kern w:val="0"/>
                <w:sz w:val="24"/>
                <w:szCs w:val="24"/>
              </w:rPr>
              <w:t>&lt;0.001</w:t>
            </w:r>
          </w:p>
        </w:tc>
        <w:tc>
          <w:tcPr>
            <w:tcW w:w="689" w:type="pct"/>
            <w:vAlign w:val="center"/>
          </w:tcPr>
          <w:p w14:paraId="06B3915F">
            <w:pPr>
              <w:widowControl/>
              <w:spacing w:line="360" w:lineRule="auto"/>
              <w:jc w:val="center"/>
              <w:rPr>
                <w:rFonts w:ascii="Times New Roman" w:hAnsi="Times New Roman" w:eastAsia="等线" w:cs="Times New Roman"/>
                <w:color w:val="000000"/>
                <w:kern w:val="0"/>
                <w:sz w:val="24"/>
                <w:szCs w:val="24"/>
              </w:rPr>
            </w:pPr>
            <w:r>
              <w:rPr>
                <w:rFonts w:ascii="Times New Roman" w:hAnsi="Times New Roman" w:eastAsia="等线" w:cs="Times New Roman"/>
                <w:color w:val="000000"/>
                <w:kern w:val="0"/>
                <w:sz w:val="24"/>
                <w:szCs w:val="24"/>
              </w:rPr>
              <w:t>5.232</w:t>
            </w:r>
          </w:p>
        </w:tc>
        <w:tc>
          <w:tcPr>
            <w:tcW w:w="572" w:type="pct"/>
            <w:vAlign w:val="center"/>
          </w:tcPr>
          <w:p w14:paraId="31DC9A97">
            <w:pPr>
              <w:widowControl/>
              <w:spacing w:line="360" w:lineRule="auto"/>
              <w:jc w:val="center"/>
              <w:rPr>
                <w:rFonts w:ascii="Times New Roman" w:hAnsi="Times New Roman" w:eastAsia="等线" w:cs="Times New Roman"/>
                <w:color w:val="000000"/>
                <w:kern w:val="0"/>
                <w:sz w:val="24"/>
                <w:szCs w:val="24"/>
              </w:rPr>
            </w:pPr>
            <w:r>
              <w:rPr>
                <w:rFonts w:ascii="Times New Roman" w:hAnsi="Times New Roman" w:eastAsia="等线" w:cs="Times New Roman"/>
                <w:color w:val="000000"/>
                <w:kern w:val="0"/>
                <w:sz w:val="24"/>
                <w:szCs w:val="24"/>
              </w:rPr>
              <w:t>0.998</w:t>
            </w:r>
          </w:p>
        </w:tc>
        <w:tc>
          <w:tcPr>
            <w:tcW w:w="571" w:type="pct"/>
            <w:vAlign w:val="center"/>
          </w:tcPr>
          <w:p w14:paraId="77236BB8">
            <w:pPr>
              <w:widowControl/>
              <w:spacing w:line="360" w:lineRule="auto"/>
              <w:jc w:val="center"/>
              <w:rPr>
                <w:rFonts w:ascii="Times New Roman" w:hAnsi="Times New Roman" w:eastAsia="等线" w:cs="Times New Roman"/>
                <w:color w:val="000000"/>
                <w:kern w:val="0"/>
                <w:sz w:val="24"/>
                <w:szCs w:val="24"/>
              </w:rPr>
            </w:pPr>
            <w:r>
              <w:rPr>
                <w:rFonts w:ascii="Times New Roman" w:hAnsi="Times New Roman" w:eastAsia="等线" w:cs="Times New Roman"/>
                <w:color w:val="000000"/>
                <w:kern w:val="0"/>
                <w:sz w:val="24"/>
                <w:szCs w:val="24"/>
              </w:rPr>
              <w:t>0.999</w:t>
            </w:r>
          </w:p>
        </w:tc>
      </w:tr>
    </w:tbl>
    <w:p w14:paraId="5B9962B0">
      <w:pPr>
        <w:widowControl/>
        <w:spacing w:line="480" w:lineRule="auto"/>
        <w:jc w:val="left"/>
        <w:rPr>
          <w:rFonts w:ascii="Times New Roman" w:hAnsi="Times New Roman" w:eastAsia="宋体" w:cs="Times New Roman"/>
          <w:sz w:val="24"/>
          <w:szCs w:val="28"/>
        </w:rPr>
      </w:pPr>
      <w:r>
        <w:rPr>
          <w:rFonts w:ascii="Times New Roman" w:hAnsi="Times New Roman" w:eastAsia="宋体" w:cs="Times New Roman"/>
          <w:sz w:val="24"/>
          <w:szCs w:val="28"/>
          <w:vertAlign w:val="superscript"/>
        </w:rPr>
        <w:t>a</w:t>
      </w:r>
      <w:r>
        <w:rPr>
          <w:rFonts w:ascii="Times New Roman" w:hAnsi="Times New Roman" w:eastAsia="宋体" w:cs="Times New Roman"/>
          <w:sz w:val="24"/>
          <w:szCs w:val="28"/>
        </w:rPr>
        <w:t xml:space="preserve"> RMSE, root mean square error of the model residuals. </w:t>
      </w:r>
      <w:r>
        <w:rPr>
          <w:rFonts w:ascii="Times New Roman" w:hAnsi="Times New Roman" w:eastAsia="宋体" w:cs="Times New Roman"/>
          <w:sz w:val="24"/>
          <w:szCs w:val="28"/>
          <w:vertAlign w:val="superscript"/>
        </w:rPr>
        <w:t>b</w:t>
      </w:r>
      <w:r>
        <w:rPr>
          <w:rFonts w:ascii="Times New Roman" w:hAnsi="Times New Roman" w:eastAsia="宋体" w:cs="Times New Roman"/>
          <w:sz w:val="24"/>
          <w:szCs w:val="28"/>
        </w:rPr>
        <w:t xml:space="preserve"> R</w:t>
      </w:r>
      <w:r>
        <w:rPr>
          <w:rFonts w:ascii="Times New Roman" w:hAnsi="Times New Roman" w:eastAsia="宋体" w:cs="Times New Roman"/>
          <w:sz w:val="24"/>
          <w:szCs w:val="28"/>
          <w:vertAlign w:val="superscript"/>
        </w:rPr>
        <w:t>2</w:t>
      </w:r>
      <w:r>
        <w:rPr>
          <w:rFonts w:ascii="Times New Roman" w:hAnsi="Times New Roman" w:eastAsia="宋体" w:cs="Times New Roman"/>
          <w:sz w:val="24"/>
          <w:szCs w:val="28"/>
        </w:rPr>
        <w:t xml:space="preserve">m, marginal coefficient of determination, representing the proportion of variance explained by the fixed effects. </w:t>
      </w:r>
      <w:r>
        <w:rPr>
          <w:rFonts w:ascii="Times New Roman" w:hAnsi="Times New Roman" w:eastAsia="宋体" w:cs="Times New Roman"/>
          <w:sz w:val="24"/>
          <w:szCs w:val="28"/>
          <w:vertAlign w:val="superscript"/>
        </w:rPr>
        <w:t>c</w:t>
      </w:r>
      <w:r>
        <w:rPr>
          <w:rFonts w:ascii="Times New Roman" w:hAnsi="Times New Roman" w:eastAsia="宋体" w:cs="Times New Roman"/>
          <w:sz w:val="24"/>
          <w:szCs w:val="28"/>
        </w:rPr>
        <w:t xml:space="preserve"> R</w:t>
      </w:r>
      <w:r>
        <w:rPr>
          <w:rFonts w:ascii="Times New Roman" w:hAnsi="Times New Roman" w:eastAsia="宋体" w:cs="Times New Roman"/>
          <w:sz w:val="24"/>
          <w:szCs w:val="28"/>
          <w:vertAlign w:val="superscript"/>
        </w:rPr>
        <w:t>2</w:t>
      </w:r>
      <w:r>
        <w:rPr>
          <w:rFonts w:ascii="Times New Roman" w:hAnsi="Times New Roman" w:eastAsia="宋体" w:cs="Times New Roman"/>
          <w:sz w:val="24"/>
          <w:szCs w:val="28"/>
        </w:rPr>
        <w:t>c, conditional coefficient of determination, representing the proportion of variance explained by both fixed and random effects.</w:t>
      </w:r>
      <w:bookmarkEnd w:id="9"/>
      <w:r>
        <w:rPr>
          <w:rFonts w:ascii="Times New Roman" w:hAnsi="Times New Roman" w:eastAsia="宋体" w:cs="Times New Roman"/>
          <w:sz w:val="24"/>
          <w:szCs w:val="28"/>
        </w:rPr>
        <w:br w:type="page"/>
      </w:r>
    </w:p>
    <w:p w14:paraId="266BDB0C">
      <w:pPr>
        <w:widowControl/>
        <w:spacing w:line="480" w:lineRule="auto"/>
        <w:jc w:val="left"/>
        <w:rPr>
          <w:rFonts w:ascii="Times New Roman" w:hAnsi="Times New Roman" w:eastAsia="宋体" w:cs="Times New Roman"/>
          <w:b/>
          <w:bCs/>
          <w:sz w:val="24"/>
          <w:szCs w:val="28"/>
        </w:rPr>
      </w:pPr>
      <w:r>
        <w:rPr>
          <w:rFonts w:ascii="Times New Roman" w:hAnsi="Times New Roman" w:eastAsia="宋体" w:cs="Times New Roman"/>
          <w:b/>
          <w:bCs/>
          <w:sz w:val="24"/>
          <w:szCs w:val="28"/>
        </w:rPr>
        <w:t>Supplementary Table 2.3 Kinetic fitting results for ammonia removal in the MG group during Phases Ⅱ, Ⅲ, and Ⅳ.</w:t>
      </w:r>
    </w:p>
    <w:tbl>
      <w:tblPr>
        <w:tblStyle w:val="9"/>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35"/>
        <w:gridCol w:w="1964"/>
        <w:gridCol w:w="1776"/>
        <w:gridCol w:w="1040"/>
        <w:gridCol w:w="1037"/>
        <w:gridCol w:w="977"/>
        <w:gridCol w:w="1509"/>
      </w:tblGrid>
      <w:tr w14:paraId="527FC60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18" w:type="dxa"/>
            <w:tcBorders>
              <w:bottom w:val="single" w:color="auto" w:sz="8" w:space="0"/>
            </w:tcBorders>
            <w:vAlign w:val="center"/>
          </w:tcPr>
          <w:p w14:paraId="12BF1E6C">
            <w:pPr>
              <w:spacing w:line="360" w:lineRule="auto"/>
              <w:jc w:val="center"/>
              <w:rPr>
                <w:rFonts w:ascii="Times New Roman" w:hAnsi="Times New Roman" w:eastAsia="宋体" w:cs="Times New Roman"/>
                <w:kern w:val="0"/>
                <w:sz w:val="24"/>
                <w:szCs w:val="28"/>
              </w:rPr>
            </w:pPr>
            <w:r>
              <w:rPr>
                <w:rFonts w:ascii="Times New Roman" w:hAnsi="Times New Roman" w:eastAsia="宋体" w:cs="Times New Roman"/>
                <w:sz w:val="24"/>
                <w:szCs w:val="28"/>
              </w:rPr>
              <w:t>Phase</w:t>
            </w:r>
          </w:p>
        </w:tc>
        <w:tc>
          <w:tcPr>
            <w:tcW w:w="1978" w:type="dxa"/>
            <w:tcBorders>
              <w:bottom w:val="single" w:color="auto" w:sz="8" w:space="0"/>
            </w:tcBorders>
            <w:vAlign w:val="center"/>
          </w:tcPr>
          <w:p w14:paraId="48FEDE84">
            <w:pPr>
              <w:spacing w:line="360" w:lineRule="auto"/>
              <w:jc w:val="center"/>
              <w:rPr>
                <w:rFonts w:ascii="Times New Roman" w:hAnsi="Times New Roman" w:eastAsia="宋体" w:cs="Times New Roman"/>
                <w:kern w:val="0"/>
                <w:sz w:val="24"/>
                <w:szCs w:val="28"/>
              </w:rPr>
            </w:pPr>
            <w:r>
              <w:rPr>
                <w:rFonts w:ascii="Times New Roman" w:hAnsi="Times New Roman" w:eastAsia="宋体" w:cs="Times New Roman"/>
                <w:kern w:val="0"/>
                <w:sz w:val="24"/>
                <w:szCs w:val="28"/>
              </w:rPr>
              <w:t xml:space="preserve">COD </w:t>
            </w:r>
          </w:p>
          <w:p w14:paraId="74AB3A27">
            <w:pPr>
              <w:spacing w:line="360" w:lineRule="auto"/>
              <w:jc w:val="center"/>
              <w:rPr>
                <w:rFonts w:ascii="Times New Roman" w:hAnsi="Times New Roman" w:eastAsia="宋体" w:cs="Times New Roman"/>
                <w:kern w:val="0"/>
                <w:sz w:val="24"/>
                <w:szCs w:val="28"/>
              </w:rPr>
            </w:pPr>
            <w:r>
              <w:rPr>
                <w:rFonts w:ascii="Times New Roman" w:hAnsi="Times New Roman" w:eastAsia="宋体" w:cs="Times New Roman"/>
                <w:kern w:val="0"/>
                <w:sz w:val="24"/>
                <w:szCs w:val="28"/>
              </w:rPr>
              <w:t>(mg·L</w:t>
            </w:r>
            <w:r>
              <w:rPr>
                <w:rFonts w:ascii="Times New Roman" w:hAnsi="Times New Roman" w:eastAsia="宋体" w:cs="Times New Roman"/>
                <w:kern w:val="0"/>
                <w:sz w:val="24"/>
                <w:szCs w:val="28"/>
                <w:vertAlign w:val="superscript"/>
              </w:rPr>
              <w:t>-1</w:t>
            </w:r>
            <w:r>
              <w:rPr>
                <w:rFonts w:ascii="Times New Roman" w:hAnsi="Times New Roman" w:eastAsia="宋体" w:cs="Times New Roman"/>
                <w:kern w:val="0"/>
                <w:sz w:val="24"/>
                <w:szCs w:val="28"/>
              </w:rPr>
              <w:t>)</w:t>
            </w:r>
          </w:p>
        </w:tc>
        <w:tc>
          <w:tcPr>
            <w:tcW w:w="1776" w:type="dxa"/>
            <w:tcBorders>
              <w:bottom w:val="single" w:color="auto" w:sz="8" w:space="0"/>
            </w:tcBorders>
            <w:vAlign w:val="center"/>
          </w:tcPr>
          <w:p w14:paraId="67E2DFF4">
            <w:pPr>
              <w:spacing w:line="360" w:lineRule="auto"/>
              <w:jc w:val="center"/>
              <w:rPr>
                <w:rFonts w:ascii="Times New Roman" w:hAnsi="Times New Roman" w:eastAsia="宋体" w:cs="Times New Roman"/>
                <w:kern w:val="0"/>
                <w:sz w:val="24"/>
                <w:szCs w:val="28"/>
              </w:rPr>
            </w:pPr>
            <w:r>
              <w:rPr>
                <w:rFonts w:ascii="Times New Roman" w:hAnsi="Times New Roman" w:eastAsia="宋体" w:cs="Times New Roman"/>
                <w:kern w:val="0"/>
                <w:sz w:val="24"/>
                <w:szCs w:val="28"/>
              </w:rPr>
              <w:t>NH</w:t>
            </w:r>
            <w:r>
              <w:rPr>
                <w:rFonts w:ascii="Times New Roman" w:hAnsi="Times New Roman" w:eastAsia="宋体" w:cs="Times New Roman"/>
                <w:kern w:val="0"/>
                <w:sz w:val="24"/>
                <w:szCs w:val="28"/>
                <w:vertAlign w:val="subscript"/>
              </w:rPr>
              <w:t>4</w:t>
            </w:r>
            <w:r>
              <w:rPr>
                <w:rFonts w:ascii="Times New Roman" w:hAnsi="Times New Roman" w:eastAsia="宋体" w:cs="Times New Roman"/>
                <w:kern w:val="0"/>
                <w:sz w:val="24"/>
                <w:szCs w:val="28"/>
                <w:vertAlign w:val="superscript"/>
              </w:rPr>
              <w:t>+</w:t>
            </w:r>
            <w:r>
              <w:rPr>
                <w:rFonts w:ascii="Times New Roman" w:hAnsi="Times New Roman" w:eastAsia="宋体" w:cs="Times New Roman"/>
                <w:kern w:val="0"/>
                <w:sz w:val="24"/>
                <w:szCs w:val="28"/>
              </w:rPr>
              <w:t xml:space="preserve">-N </w:t>
            </w:r>
          </w:p>
          <w:p w14:paraId="05B6822A">
            <w:pPr>
              <w:spacing w:line="360" w:lineRule="auto"/>
              <w:jc w:val="center"/>
              <w:rPr>
                <w:rFonts w:ascii="Times New Roman" w:hAnsi="Times New Roman" w:eastAsia="宋体" w:cs="Times New Roman"/>
                <w:kern w:val="0"/>
                <w:sz w:val="24"/>
                <w:szCs w:val="28"/>
              </w:rPr>
            </w:pPr>
            <w:r>
              <w:rPr>
                <w:rFonts w:ascii="Times New Roman" w:hAnsi="Times New Roman" w:eastAsia="宋体" w:cs="Times New Roman"/>
                <w:kern w:val="0"/>
                <w:sz w:val="24"/>
                <w:szCs w:val="28"/>
              </w:rPr>
              <w:t>(mg·L</w:t>
            </w:r>
            <w:r>
              <w:rPr>
                <w:rFonts w:ascii="Times New Roman" w:hAnsi="Times New Roman" w:eastAsia="宋体" w:cs="Times New Roman"/>
                <w:kern w:val="0"/>
                <w:sz w:val="24"/>
                <w:szCs w:val="28"/>
                <w:vertAlign w:val="superscript"/>
              </w:rPr>
              <w:t>-1</w:t>
            </w:r>
            <w:r>
              <w:rPr>
                <w:rFonts w:ascii="Times New Roman" w:hAnsi="Times New Roman" w:eastAsia="宋体" w:cs="Times New Roman"/>
                <w:kern w:val="0"/>
                <w:sz w:val="24"/>
                <w:szCs w:val="28"/>
              </w:rPr>
              <w:t>)</w:t>
            </w:r>
          </w:p>
        </w:tc>
        <w:tc>
          <w:tcPr>
            <w:tcW w:w="1049" w:type="dxa"/>
            <w:tcBorders>
              <w:bottom w:val="single" w:color="auto" w:sz="8" w:space="0"/>
            </w:tcBorders>
            <w:vAlign w:val="center"/>
          </w:tcPr>
          <w:p w14:paraId="45AC35A9">
            <w:pPr>
              <w:spacing w:line="360" w:lineRule="auto"/>
              <w:jc w:val="center"/>
              <w:rPr>
                <w:rFonts w:ascii="Times New Roman" w:hAnsi="Times New Roman" w:eastAsia="宋体" w:cs="Times New Roman"/>
                <w:kern w:val="0"/>
                <w:sz w:val="24"/>
                <w:szCs w:val="28"/>
              </w:rPr>
            </w:pPr>
            <w:r>
              <w:rPr>
                <w:rFonts w:ascii="Times New Roman" w:hAnsi="Times New Roman" w:eastAsia="宋体" w:cs="Times New Roman"/>
                <w:kern w:val="0"/>
                <w:sz w:val="24"/>
                <w:szCs w:val="28"/>
              </w:rPr>
              <w:t>a</w:t>
            </w:r>
          </w:p>
        </w:tc>
        <w:tc>
          <w:tcPr>
            <w:tcW w:w="1049" w:type="dxa"/>
            <w:tcBorders>
              <w:bottom w:val="single" w:color="auto" w:sz="8" w:space="0"/>
            </w:tcBorders>
            <w:vAlign w:val="center"/>
          </w:tcPr>
          <w:p w14:paraId="7A937B45">
            <w:pPr>
              <w:spacing w:line="360" w:lineRule="auto"/>
              <w:jc w:val="center"/>
              <w:rPr>
                <w:rFonts w:ascii="Times New Roman" w:hAnsi="Times New Roman" w:eastAsia="宋体" w:cs="Times New Roman"/>
                <w:kern w:val="0"/>
                <w:sz w:val="24"/>
                <w:szCs w:val="28"/>
              </w:rPr>
            </w:pPr>
            <w:r>
              <w:rPr>
                <w:rFonts w:ascii="Times New Roman" w:hAnsi="Times New Roman" w:eastAsia="宋体" w:cs="Times New Roman"/>
                <w:kern w:val="0"/>
                <w:sz w:val="24"/>
                <w:szCs w:val="28"/>
              </w:rPr>
              <w:t>k</w:t>
            </w:r>
          </w:p>
        </w:tc>
        <w:tc>
          <w:tcPr>
            <w:tcW w:w="1049" w:type="dxa"/>
            <w:tcBorders>
              <w:bottom w:val="single" w:color="auto" w:sz="8" w:space="0"/>
            </w:tcBorders>
            <w:vAlign w:val="center"/>
          </w:tcPr>
          <w:p w14:paraId="06ECEEF8">
            <w:pPr>
              <w:spacing w:line="360" w:lineRule="auto"/>
              <w:jc w:val="center"/>
              <w:rPr>
                <w:rFonts w:ascii="Times New Roman" w:hAnsi="Times New Roman" w:eastAsia="宋体" w:cs="Times New Roman"/>
                <w:kern w:val="0"/>
                <w:sz w:val="24"/>
                <w:szCs w:val="28"/>
              </w:rPr>
            </w:pPr>
            <w:r>
              <w:rPr>
                <w:rFonts w:ascii="Times New Roman" w:hAnsi="Times New Roman" w:eastAsia="宋体" w:cs="Times New Roman"/>
                <w:kern w:val="0"/>
                <w:sz w:val="24"/>
                <w:szCs w:val="28"/>
              </w:rPr>
              <w:t>R</w:t>
            </w:r>
            <w:r>
              <w:rPr>
                <w:rFonts w:ascii="Times New Roman" w:hAnsi="Times New Roman" w:eastAsia="宋体" w:cs="Times New Roman"/>
                <w:kern w:val="0"/>
                <w:sz w:val="24"/>
                <w:szCs w:val="28"/>
                <w:vertAlign w:val="superscript"/>
              </w:rPr>
              <w:t>2</w:t>
            </w:r>
          </w:p>
        </w:tc>
        <w:tc>
          <w:tcPr>
            <w:tcW w:w="1049" w:type="dxa"/>
            <w:tcBorders>
              <w:bottom w:val="single" w:color="auto" w:sz="8" w:space="0"/>
            </w:tcBorders>
            <w:vAlign w:val="center"/>
          </w:tcPr>
          <w:p w14:paraId="4A985EF5">
            <w:pPr>
              <w:spacing w:line="360" w:lineRule="auto"/>
              <w:jc w:val="center"/>
              <w:rPr>
                <w:rFonts w:ascii="Times New Roman" w:hAnsi="Times New Roman" w:eastAsia="宋体" w:cs="Times New Roman"/>
                <w:kern w:val="0"/>
                <w:sz w:val="24"/>
                <w:szCs w:val="28"/>
              </w:rPr>
            </w:pPr>
            <w:r>
              <w:rPr>
                <w:rFonts w:ascii="Times New Roman" w:hAnsi="Times New Roman" w:eastAsia="宋体" w:cs="Times New Roman"/>
                <w:kern w:val="0"/>
                <w:sz w:val="24"/>
                <w:szCs w:val="28"/>
              </w:rPr>
              <w:t>Model</w:t>
            </w:r>
          </w:p>
        </w:tc>
      </w:tr>
      <w:tr w14:paraId="2406129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18" w:type="dxa"/>
            <w:tcBorders>
              <w:top w:val="single" w:color="auto" w:sz="8" w:space="0"/>
            </w:tcBorders>
            <w:vAlign w:val="center"/>
          </w:tcPr>
          <w:p w14:paraId="0ADDD3E4">
            <w:pPr>
              <w:spacing w:line="360" w:lineRule="auto"/>
              <w:jc w:val="center"/>
              <w:rPr>
                <w:rFonts w:ascii="Times New Roman" w:hAnsi="Times New Roman" w:eastAsia="宋体" w:cs="Times New Roman"/>
                <w:kern w:val="0"/>
                <w:sz w:val="24"/>
                <w:szCs w:val="28"/>
              </w:rPr>
            </w:pPr>
            <w:r>
              <w:rPr>
                <w:rFonts w:ascii="Times New Roman" w:hAnsi="Times New Roman" w:eastAsia="宋体" w:cs="Times New Roman"/>
                <w:kern w:val="0"/>
                <w:sz w:val="24"/>
                <w:szCs w:val="28"/>
              </w:rPr>
              <w:t>Ⅱ (Low carbon)</w:t>
            </w:r>
          </w:p>
        </w:tc>
        <w:tc>
          <w:tcPr>
            <w:tcW w:w="1978" w:type="dxa"/>
            <w:tcBorders>
              <w:top w:val="single" w:color="auto" w:sz="8" w:space="0"/>
            </w:tcBorders>
            <w:vAlign w:val="center"/>
          </w:tcPr>
          <w:p w14:paraId="7B168C45">
            <w:pPr>
              <w:spacing w:line="360" w:lineRule="auto"/>
              <w:jc w:val="center"/>
              <w:rPr>
                <w:rFonts w:ascii="Times New Roman" w:hAnsi="Times New Roman" w:eastAsia="宋体" w:cs="Times New Roman"/>
                <w:kern w:val="0"/>
                <w:sz w:val="24"/>
                <w:szCs w:val="28"/>
              </w:rPr>
            </w:pPr>
            <w:r>
              <w:rPr>
                <w:rFonts w:ascii="Times New Roman" w:hAnsi="Times New Roman" w:eastAsia="宋体" w:cs="Times New Roman"/>
                <w:kern w:val="0"/>
                <w:sz w:val="24"/>
                <w:szCs w:val="28"/>
              </w:rPr>
              <w:t>781.24→689.50</w:t>
            </w:r>
          </w:p>
        </w:tc>
        <w:tc>
          <w:tcPr>
            <w:tcW w:w="1776" w:type="dxa"/>
            <w:tcBorders>
              <w:top w:val="single" w:color="auto" w:sz="8" w:space="0"/>
            </w:tcBorders>
            <w:vAlign w:val="center"/>
          </w:tcPr>
          <w:p w14:paraId="2B1026FB">
            <w:pPr>
              <w:spacing w:line="360" w:lineRule="auto"/>
              <w:jc w:val="center"/>
              <w:rPr>
                <w:rFonts w:ascii="Times New Roman" w:hAnsi="Times New Roman" w:eastAsia="宋体" w:cs="Times New Roman"/>
                <w:kern w:val="0"/>
                <w:sz w:val="24"/>
                <w:szCs w:val="28"/>
              </w:rPr>
            </w:pPr>
            <w:r>
              <w:rPr>
                <w:rFonts w:ascii="Times New Roman" w:hAnsi="Times New Roman" w:eastAsia="宋体" w:cs="Times New Roman"/>
                <w:kern w:val="0"/>
                <w:sz w:val="24"/>
                <w:szCs w:val="28"/>
              </w:rPr>
              <w:t>971.58→670.49</w:t>
            </w:r>
          </w:p>
        </w:tc>
        <w:tc>
          <w:tcPr>
            <w:tcW w:w="1049" w:type="dxa"/>
            <w:tcBorders>
              <w:top w:val="single" w:color="auto" w:sz="8" w:space="0"/>
            </w:tcBorders>
            <w:vAlign w:val="center"/>
          </w:tcPr>
          <w:p w14:paraId="25B44506">
            <w:pPr>
              <w:spacing w:line="360" w:lineRule="auto"/>
              <w:jc w:val="center"/>
              <w:rPr>
                <w:rFonts w:ascii="Times New Roman" w:hAnsi="Times New Roman" w:eastAsia="宋体" w:cs="Times New Roman"/>
                <w:kern w:val="0"/>
                <w:sz w:val="24"/>
                <w:szCs w:val="28"/>
              </w:rPr>
            </w:pPr>
            <w:r>
              <w:rPr>
                <w:rFonts w:ascii="Times New Roman" w:hAnsi="Times New Roman" w:eastAsia="宋体" w:cs="Times New Roman"/>
                <w:kern w:val="0"/>
                <w:sz w:val="24"/>
                <w:szCs w:val="28"/>
              </w:rPr>
              <w:t>1979.17</w:t>
            </w:r>
          </w:p>
        </w:tc>
        <w:tc>
          <w:tcPr>
            <w:tcW w:w="1049" w:type="dxa"/>
            <w:tcBorders>
              <w:top w:val="single" w:color="auto" w:sz="8" w:space="0"/>
            </w:tcBorders>
            <w:vAlign w:val="center"/>
          </w:tcPr>
          <w:p w14:paraId="0FC8C8DB">
            <w:pPr>
              <w:spacing w:line="360" w:lineRule="auto"/>
              <w:jc w:val="center"/>
              <w:rPr>
                <w:rFonts w:ascii="Times New Roman" w:hAnsi="Times New Roman" w:eastAsia="宋体" w:cs="Times New Roman"/>
                <w:kern w:val="0"/>
                <w:sz w:val="24"/>
                <w:szCs w:val="28"/>
              </w:rPr>
            </w:pPr>
            <w:r>
              <w:rPr>
                <w:rFonts w:ascii="Times New Roman" w:hAnsi="Times New Roman" w:eastAsia="宋体" w:cs="Times New Roman"/>
                <w:kern w:val="0"/>
                <w:sz w:val="24"/>
                <w:szCs w:val="28"/>
              </w:rPr>
              <w:t>3.35E-5</w:t>
            </w:r>
          </w:p>
        </w:tc>
        <w:tc>
          <w:tcPr>
            <w:tcW w:w="1049" w:type="dxa"/>
            <w:tcBorders>
              <w:top w:val="single" w:color="auto" w:sz="8" w:space="0"/>
            </w:tcBorders>
            <w:vAlign w:val="center"/>
          </w:tcPr>
          <w:p w14:paraId="24CE2C96">
            <w:pPr>
              <w:spacing w:line="360" w:lineRule="auto"/>
              <w:jc w:val="center"/>
              <w:rPr>
                <w:rFonts w:ascii="Times New Roman" w:hAnsi="Times New Roman" w:eastAsia="宋体" w:cs="Times New Roman"/>
                <w:kern w:val="0"/>
                <w:sz w:val="24"/>
                <w:szCs w:val="28"/>
              </w:rPr>
            </w:pPr>
            <w:r>
              <w:rPr>
                <w:rFonts w:ascii="Times New Roman" w:hAnsi="Times New Roman" w:eastAsia="宋体" w:cs="Times New Roman"/>
                <w:kern w:val="0"/>
                <w:sz w:val="24"/>
                <w:szCs w:val="28"/>
              </w:rPr>
              <w:t>0.97</w:t>
            </w:r>
          </w:p>
        </w:tc>
        <w:tc>
          <w:tcPr>
            <w:tcW w:w="1049" w:type="dxa"/>
            <w:tcBorders>
              <w:top w:val="single" w:color="auto" w:sz="8" w:space="0"/>
            </w:tcBorders>
            <w:vAlign w:val="center"/>
          </w:tcPr>
          <w:p w14:paraId="149144B8">
            <w:pPr>
              <w:spacing w:line="360" w:lineRule="auto"/>
              <w:jc w:val="center"/>
              <w:rPr>
                <w:rFonts w:ascii="Times New Roman" w:hAnsi="Times New Roman" w:eastAsia="宋体" w:cs="Times New Roman"/>
                <w:kern w:val="0"/>
                <w:sz w:val="24"/>
                <w:szCs w:val="28"/>
              </w:rPr>
            </w:pPr>
            <w:r>
              <w:rPr>
                <w:rFonts w:ascii="Times New Roman" w:hAnsi="Times New Roman" w:eastAsia="宋体" w:cs="Times New Roman"/>
                <w:kern w:val="0"/>
                <w:sz w:val="24"/>
                <w:szCs w:val="28"/>
              </w:rPr>
              <w:t>Second-order</w:t>
            </w:r>
          </w:p>
        </w:tc>
      </w:tr>
      <w:tr w14:paraId="47A40C4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18" w:type="dxa"/>
            <w:vAlign w:val="center"/>
          </w:tcPr>
          <w:p w14:paraId="18044390">
            <w:pPr>
              <w:spacing w:line="360" w:lineRule="auto"/>
              <w:jc w:val="center"/>
              <w:rPr>
                <w:rFonts w:ascii="Times New Roman" w:hAnsi="Times New Roman" w:eastAsia="宋体" w:cs="Times New Roman"/>
                <w:kern w:val="0"/>
                <w:sz w:val="24"/>
                <w:szCs w:val="28"/>
              </w:rPr>
            </w:pPr>
            <w:r>
              <w:rPr>
                <w:rFonts w:ascii="Times New Roman" w:hAnsi="Times New Roman" w:eastAsia="宋体" w:cs="Times New Roman"/>
                <w:kern w:val="0"/>
                <w:sz w:val="24"/>
                <w:szCs w:val="28"/>
              </w:rPr>
              <w:t>Ⅲ (High carbon)</w:t>
            </w:r>
          </w:p>
        </w:tc>
        <w:tc>
          <w:tcPr>
            <w:tcW w:w="1978" w:type="dxa"/>
            <w:vAlign w:val="center"/>
          </w:tcPr>
          <w:p w14:paraId="76A0A5D4">
            <w:pPr>
              <w:spacing w:line="360" w:lineRule="auto"/>
              <w:jc w:val="center"/>
              <w:rPr>
                <w:rFonts w:ascii="Times New Roman" w:hAnsi="Times New Roman" w:eastAsia="宋体" w:cs="Times New Roman"/>
                <w:kern w:val="0"/>
                <w:sz w:val="24"/>
                <w:szCs w:val="28"/>
              </w:rPr>
            </w:pPr>
            <w:r>
              <w:rPr>
                <w:rFonts w:ascii="Times New Roman" w:hAnsi="Times New Roman" w:eastAsia="宋体" w:cs="Times New Roman"/>
                <w:kern w:val="0"/>
                <w:sz w:val="24"/>
                <w:szCs w:val="28"/>
              </w:rPr>
              <w:t>2279.45→347.83</w:t>
            </w:r>
          </w:p>
        </w:tc>
        <w:tc>
          <w:tcPr>
            <w:tcW w:w="1776" w:type="dxa"/>
            <w:vAlign w:val="center"/>
          </w:tcPr>
          <w:p w14:paraId="0C06B0E7">
            <w:pPr>
              <w:spacing w:line="360" w:lineRule="auto"/>
              <w:jc w:val="center"/>
              <w:rPr>
                <w:rFonts w:ascii="Times New Roman" w:hAnsi="Times New Roman" w:eastAsia="宋体" w:cs="Times New Roman"/>
                <w:kern w:val="0"/>
                <w:sz w:val="24"/>
                <w:szCs w:val="28"/>
              </w:rPr>
            </w:pPr>
            <w:r>
              <w:rPr>
                <w:rFonts w:ascii="Times New Roman" w:hAnsi="Times New Roman" w:eastAsia="宋体" w:cs="Times New Roman"/>
                <w:kern w:val="0"/>
                <w:sz w:val="24"/>
                <w:szCs w:val="28"/>
              </w:rPr>
              <w:t>626.71→591.49</w:t>
            </w:r>
          </w:p>
        </w:tc>
        <w:tc>
          <w:tcPr>
            <w:tcW w:w="1049" w:type="dxa"/>
            <w:vAlign w:val="center"/>
          </w:tcPr>
          <w:p w14:paraId="77BD3D32">
            <w:pPr>
              <w:spacing w:line="360" w:lineRule="auto"/>
              <w:jc w:val="center"/>
              <w:rPr>
                <w:rFonts w:ascii="Times New Roman" w:hAnsi="Times New Roman" w:eastAsia="宋体" w:cs="Times New Roman"/>
                <w:kern w:val="0"/>
                <w:sz w:val="24"/>
                <w:szCs w:val="28"/>
              </w:rPr>
            </w:pPr>
            <w:r>
              <w:rPr>
                <w:rFonts w:ascii="Times New Roman" w:hAnsi="Times New Roman" w:eastAsia="宋体" w:cs="Times New Roman"/>
                <w:kern w:val="0"/>
                <w:sz w:val="24"/>
                <w:szCs w:val="28"/>
              </w:rPr>
              <w:t>1060.66</w:t>
            </w:r>
          </w:p>
        </w:tc>
        <w:tc>
          <w:tcPr>
            <w:tcW w:w="1049" w:type="dxa"/>
            <w:vAlign w:val="center"/>
          </w:tcPr>
          <w:p w14:paraId="31E1989B">
            <w:pPr>
              <w:spacing w:line="360" w:lineRule="auto"/>
              <w:jc w:val="center"/>
              <w:rPr>
                <w:rFonts w:ascii="Times New Roman" w:hAnsi="Times New Roman" w:eastAsia="宋体" w:cs="Times New Roman"/>
                <w:kern w:val="0"/>
                <w:sz w:val="24"/>
                <w:szCs w:val="28"/>
              </w:rPr>
            </w:pPr>
            <w:r>
              <w:rPr>
                <w:rFonts w:ascii="Times New Roman" w:hAnsi="Times New Roman" w:eastAsia="宋体" w:cs="Times New Roman"/>
                <w:kern w:val="0"/>
                <w:sz w:val="24"/>
                <w:szCs w:val="28"/>
              </w:rPr>
              <w:t>0.02</w:t>
            </w:r>
          </w:p>
        </w:tc>
        <w:tc>
          <w:tcPr>
            <w:tcW w:w="1049" w:type="dxa"/>
            <w:vAlign w:val="center"/>
          </w:tcPr>
          <w:p w14:paraId="36A84C73">
            <w:pPr>
              <w:spacing w:line="360" w:lineRule="auto"/>
              <w:jc w:val="center"/>
              <w:rPr>
                <w:rFonts w:ascii="Times New Roman" w:hAnsi="Times New Roman" w:eastAsia="宋体" w:cs="Times New Roman"/>
                <w:kern w:val="0"/>
                <w:sz w:val="24"/>
                <w:szCs w:val="28"/>
              </w:rPr>
            </w:pPr>
            <w:r>
              <w:rPr>
                <w:rFonts w:ascii="Times New Roman" w:hAnsi="Times New Roman" w:eastAsia="宋体" w:cs="Times New Roman"/>
                <w:kern w:val="0"/>
                <w:sz w:val="24"/>
                <w:szCs w:val="28"/>
              </w:rPr>
              <w:t>0.66</w:t>
            </w:r>
          </w:p>
        </w:tc>
        <w:tc>
          <w:tcPr>
            <w:tcW w:w="1049" w:type="dxa"/>
            <w:vAlign w:val="center"/>
          </w:tcPr>
          <w:p w14:paraId="71899EF5">
            <w:pPr>
              <w:spacing w:line="360" w:lineRule="auto"/>
              <w:jc w:val="center"/>
              <w:rPr>
                <w:rFonts w:ascii="Times New Roman" w:hAnsi="Times New Roman" w:eastAsia="宋体" w:cs="Times New Roman"/>
                <w:kern w:val="0"/>
                <w:sz w:val="24"/>
                <w:szCs w:val="28"/>
              </w:rPr>
            </w:pPr>
            <w:r>
              <w:rPr>
                <w:rFonts w:ascii="Times New Roman" w:hAnsi="Times New Roman" w:eastAsia="宋体" w:cs="Times New Roman"/>
                <w:kern w:val="0"/>
                <w:sz w:val="24"/>
                <w:szCs w:val="28"/>
              </w:rPr>
              <w:t>First-order</w:t>
            </w:r>
          </w:p>
        </w:tc>
      </w:tr>
      <w:tr w14:paraId="505FA95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18" w:type="dxa"/>
            <w:vAlign w:val="center"/>
          </w:tcPr>
          <w:p w14:paraId="7B77A93A">
            <w:pPr>
              <w:spacing w:line="360" w:lineRule="auto"/>
              <w:jc w:val="center"/>
              <w:rPr>
                <w:rFonts w:ascii="Times New Roman" w:hAnsi="Times New Roman" w:eastAsia="宋体" w:cs="Times New Roman"/>
                <w:kern w:val="0"/>
                <w:sz w:val="24"/>
                <w:szCs w:val="28"/>
              </w:rPr>
            </w:pPr>
            <w:r>
              <w:rPr>
                <w:rFonts w:ascii="Times New Roman" w:hAnsi="Times New Roman" w:eastAsia="宋体" w:cs="Times New Roman"/>
                <w:kern w:val="0"/>
                <w:sz w:val="24"/>
                <w:szCs w:val="28"/>
              </w:rPr>
              <w:t>Ⅳ (High carbon)</w:t>
            </w:r>
          </w:p>
        </w:tc>
        <w:tc>
          <w:tcPr>
            <w:tcW w:w="1978" w:type="dxa"/>
            <w:vAlign w:val="center"/>
          </w:tcPr>
          <w:p w14:paraId="38A40112">
            <w:pPr>
              <w:spacing w:line="360" w:lineRule="auto"/>
              <w:jc w:val="center"/>
              <w:rPr>
                <w:rFonts w:ascii="Times New Roman" w:hAnsi="Times New Roman" w:eastAsia="宋体" w:cs="Times New Roman"/>
                <w:kern w:val="0"/>
                <w:sz w:val="24"/>
                <w:szCs w:val="28"/>
              </w:rPr>
            </w:pPr>
            <w:r>
              <w:rPr>
                <w:rFonts w:ascii="Times New Roman" w:hAnsi="Times New Roman" w:eastAsia="宋体" w:cs="Times New Roman"/>
                <w:kern w:val="0"/>
                <w:sz w:val="24"/>
                <w:szCs w:val="28"/>
              </w:rPr>
              <w:t>1981.70→515.42</w:t>
            </w:r>
          </w:p>
        </w:tc>
        <w:tc>
          <w:tcPr>
            <w:tcW w:w="1776" w:type="dxa"/>
            <w:vAlign w:val="center"/>
          </w:tcPr>
          <w:p w14:paraId="06C9D1B4">
            <w:pPr>
              <w:spacing w:line="360" w:lineRule="auto"/>
              <w:jc w:val="center"/>
              <w:rPr>
                <w:rFonts w:ascii="Times New Roman" w:hAnsi="Times New Roman" w:eastAsia="宋体" w:cs="Times New Roman"/>
                <w:kern w:val="0"/>
                <w:sz w:val="24"/>
                <w:szCs w:val="28"/>
              </w:rPr>
            </w:pPr>
            <w:r>
              <w:rPr>
                <w:rFonts w:ascii="Times New Roman" w:hAnsi="Times New Roman" w:eastAsia="宋体" w:cs="Times New Roman"/>
                <w:kern w:val="0"/>
                <w:sz w:val="24"/>
                <w:szCs w:val="28"/>
              </w:rPr>
              <w:t>551.86→458.21</w:t>
            </w:r>
          </w:p>
        </w:tc>
        <w:tc>
          <w:tcPr>
            <w:tcW w:w="1049" w:type="dxa"/>
            <w:vAlign w:val="center"/>
          </w:tcPr>
          <w:p w14:paraId="077EA8C8">
            <w:pPr>
              <w:spacing w:line="360" w:lineRule="auto"/>
              <w:jc w:val="center"/>
              <w:rPr>
                <w:rFonts w:ascii="Times New Roman" w:hAnsi="Times New Roman" w:eastAsia="宋体" w:cs="Times New Roman"/>
                <w:kern w:val="0"/>
                <w:sz w:val="24"/>
                <w:szCs w:val="28"/>
              </w:rPr>
            </w:pPr>
            <w:r>
              <w:rPr>
                <w:rFonts w:ascii="Times New Roman" w:hAnsi="Times New Roman" w:eastAsia="宋体" w:cs="Times New Roman"/>
                <w:kern w:val="0"/>
                <w:sz w:val="24"/>
                <w:szCs w:val="28"/>
              </w:rPr>
              <w:t>3963.10</w:t>
            </w:r>
          </w:p>
        </w:tc>
        <w:tc>
          <w:tcPr>
            <w:tcW w:w="1049" w:type="dxa"/>
            <w:vAlign w:val="center"/>
          </w:tcPr>
          <w:p w14:paraId="211DB196">
            <w:pPr>
              <w:spacing w:line="360" w:lineRule="auto"/>
              <w:jc w:val="center"/>
              <w:rPr>
                <w:rFonts w:ascii="Times New Roman" w:hAnsi="Times New Roman" w:eastAsia="宋体" w:cs="Times New Roman"/>
                <w:kern w:val="0"/>
                <w:sz w:val="24"/>
                <w:szCs w:val="28"/>
              </w:rPr>
            </w:pPr>
            <w:r>
              <w:rPr>
                <w:rFonts w:ascii="Times New Roman" w:hAnsi="Times New Roman" w:eastAsia="宋体" w:cs="Times New Roman"/>
                <w:kern w:val="0"/>
                <w:sz w:val="24"/>
                <w:szCs w:val="28"/>
              </w:rPr>
              <w:t>0.05</w:t>
            </w:r>
          </w:p>
        </w:tc>
        <w:tc>
          <w:tcPr>
            <w:tcW w:w="1049" w:type="dxa"/>
            <w:vAlign w:val="center"/>
          </w:tcPr>
          <w:p w14:paraId="0B32926D">
            <w:pPr>
              <w:spacing w:line="360" w:lineRule="auto"/>
              <w:jc w:val="center"/>
              <w:rPr>
                <w:rFonts w:ascii="Times New Roman" w:hAnsi="Times New Roman" w:eastAsia="宋体" w:cs="Times New Roman"/>
                <w:kern w:val="0"/>
                <w:sz w:val="24"/>
                <w:szCs w:val="28"/>
              </w:rPr>
            </w:pPr>
            <w:r>
              <w:rPr>
                <w:rFonts w:ascii="Times New Roman" w:hAnsi="Times New Roman" w:eastAsia="宋体" w:cs="Times New Roman"/>
                <w:kern w:val="0"/>
                <w:sz w:val="24"/>
                <w:szCs w:val="28"/>
              </w:rPr>
              <w:t>0.99</w:t>
            </w:r>
          </w:p>
        </w:tc>
        <w:tc>
          <w:tcPr>
            <w:tcW w:w="1049" w:type="dxa"/>
            <w:vAlign w:val="center"/>
          </w:tcPr>
          <w:p w14:paraId="2E28054A">
            <w:pPr>
              <w:spacing w:line="360" w:lineRule="auto"/>
              <w:jc w:val="center"/>
              <w:rPr>
                <w:rFonts w:ascii="Times New Roman" w:hAnsi="Times New Roman" w:eastAsia="宋体" w:cs="Times New Roman"/>
                <w:kern w:val="0"/>
                <w:sz w:val="24"/>
                <w:szCs w:val="28"/>
              </w:rPr>
            </w:pPr>
            <w:r>
              <w:rPr>
                <w:rFonts w:ascii="Times New Roman" w:hAnsi="Times New Roman" w:eastAsia="宋体" w:cs="Times New Roman"/>
                <w:kern w:val="0"/>
                <w:sz w:val="24"/>
                <w:szCs w:val="28"/>
              </w:rPr>
              <w:t>First-order</w:t>
            </w:r>
          </w:p>
        </w:tc>
      </w:tr>
    </w:tbl>
    <w:p w14:paraId="00F171EA">
      <w:pPr>
        <w:widowControl/>
        <w:jc w:val="left"/>
        <w:rPr>
          <w:rFonts w:ascii="Times New Roman" w:hAnsi="Times New Roman" w:eastAsia="宋体" w:cs="Times New Roman"/>
          <w:b/>
          <w:bCs/>
          <w:sz w:val="24"/>
          <w:szCs w:val="28"/>
        </w:rPr>
      </w:pPr>
      <w:r>
        <w:rPr>
          <w:rFonts w:ascii="Times New Roman" w:hAnsi="Times New Roman" w:eastAsia="宋体" w:cs="Times New Roman"/>
          <w:b/>
          <w:bCs/>
          <w:sz w:val="24"/>
          <w:szCs w:val="28"/>
        </w:rPr>
        <w:br w:type="page"/>
      </w:r>
    </w:p>
    <w:p w14:paraId="49ABCDA9">
      <w:pPr>
        <w:widowControl/>
        <w:spacing w:line="480" w:lineRule="auto"/>
        <w:jc w:val="left"/>
        <w:rPr>
          <w:rFonts w:ascii="Times New Roman" w:hAnsi="Times New Roman" w:eastAsia="宋体" w:cs="Times New Roman"/>
          <w:b/>
          <w:bCs/>
          <w:sz w:val="24"/>
          <w:szCs w:val="28"/>
        </w:rPr>
      </w:pPr>
      <w:bookmarkStart w:id="10" w:name="OLE_LINK20"/>
      <w:r>
        <w:rPr>
          <w:rFonts w:ascii="Times New Roman" w:hAnsi="Times New Roman" w:eastAsia="宋体" w:cs="Times New Roman"/>
          <w:b/>
          <w:bCs/>
          <w:sz w:val="24"/>
          <w:szCs w:val="28"/>
        </w:rPr>
        <w:t xml:space="preserve">Supplementary Table 2.4 </w:t>
      </w:r>
      <w:r>
        <w:rPr>
          <w:rFonts w:ascii="Times New Roman" w:hAnsi="Times New Roman" w:eastAsia="宋体" w:cs="Times New Roman"/>
          <w:b/>
          <w:bCs/>
          <w:sz w:val="24"/>
          <w:szCs w:val="28"/>
          <w:vertAlign w:val="superscript"/>
        </w:rPr>
        <w:t>15</w:t>
      </w:r>
      <w:r>
        <w:rPr>
          <w:rFonts w:ascii="Times New Roman" w:hAnsi="Times New Roman" w:eastAsia="宋体" w:cs="Times New Roman"/>
          <w:b/>
          <w:bCs/>
          <w:sz w:val="24"/>
          <w:szCs w:val="28"/>
        </w:rPr>
        <w:t>N stable-isotope mass balance.</w:t>
      </w:r>
    </w:p>
    <w:tbl>
      <w:tblPr>
        <w:tblStyle w:val="9"/>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51"/>
        <w:gridCol w:w="1712"/>
        <w:gridCol w:w="1793"/>
        <w:gridCol w:w="1793"/>
        <w:gridCol w:w="1789"/>
      </w:tblGrid>
      <w:tr w14:paraId="54E904E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24" w:type="pct"/>
            <w:vMerge w:val="restart"/>
            <w:vAlign w:val="center"/>
          </w:tcPr>
          <w:p w14:paraId="5EFDBA50">
            <w:pPr>
              <w:widowControl/>
              <w:spacing w:line="360" w:lineRule="auto"/>
              <w:jc w:val="center"/>
              <w:rPr>
                <w:rFonts w:ascii="Times New Roman" w:hAnsi="Times New Roman" w:eastAsia="宋体" w:cs="Times New Roman"/>
                <w:kern w:val="0"/>
                <w:sz w:val="24"/>
                <w:szCs w:val="28"/>
              </w:rPr>
            </w:pPr>
          </w:p>
        </w:tc>
        <w:tc>
          <w:tcPr>
            <w:tcW w:w="3676" w:type="pct"/>
            <w:gridSpan w:val="4"/>
            <w:tcBorders>
              <w:bottom w:val="single" w:color="auto" w:sz="8" w:space="0"/>
            </w:tcBorders>
            <w:vAlign w:val="center"/>
          </w:tcPr>
          <w:p w14:paraId="46E18646">
            <w:pPr>
              <w:widowControl/>
              <w:spacing w:line="360" w:lineRule="auto"/>
              <w:jc w:val="center"/>
              <w:rPr>
                <w:rFonts w:ascii="Times New Roman" w:hAnsi="Times New Roman" w:eastAsia="宋体" w:cs="Times New Roman"/>
                <w:kern w:val="0"/>
                <w:sz w:val="24"/>
                <w:szCs w:val="28"/>
              </w:rPr>
            </w:pPr>
            <w:r>
              <w:rPr>
                <w:rFonts w:ascii="Times New Roman" w:hAnsi="Times New Roman" w:eastAsia="宋体" w:cs="Times New Roman"/>
                <w:kern w:val="0"/>
                <w:sz w:val="24"/>
                <w:szCs w:val="28"/>
              </w:rPr>
              <w:t>Number of days for the experiment (days)</w:t>
            </w:r>
          </w:p>
        </w:tc>
      </w:tr>
      <w:tr w14:paraId="1C4DDB3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24" w:type="pct"/>
            <w:vMerge w:val="continue"/>
            <w:tcBorders>
              <w:bottom w:val="single" w:color="auto" w:sz="8" w:space="0"/>
            </w:tcBorders>
            <w:vAlign w:val="center"/>
          </w:tcPr>
          <w:p w14:paraId="0A6D9A63">
            <w:pPr>
              <w:widowControl/>
              <w:spacing w:line="360" w:lineRule="auto"/>
              <w:jc w:val="center"/>
              <w:rPr>
                <w:rFonts w:ascii="Times New Roman" w:hAnsi="Times New Roman" w:eastAsia="宋体" w:cs="Times New Roman"/>
                <w:kern w:val="0"/>
                <w:sz w:val="24"/>
                <w:szCs w:val="28"/>
              </w:rPr>
            </w:pPr>
          </w:p>
        </w:tc>
        <w:tc>
          <w:tcPr>
            <w:tcW w:w="888" w:type="pct"/>
            <w:tcBorders>
              <w:top w:val="single" w:color="auto" w:sz="8" w:space="0"/>
              <w:bottom w:val="single" w:color="auto" w:sz="8" w:space="0"/>
            </w:tcBorders>
            <w:vAlign w:val="center"/>
          </w:tcPr>
          <w:p w14:paraId="29C88F99">
            <w:pPr>
              <w:widowControl/>
              <w:spacing w:line="360" w:lineRule="auto"/>
              <w:jc w:val="center"/>
              <w:rPr>
                <w:rFonts w:ascii="Times New Roman" w:hAnsi="Times New Roman" w:eastAsia="宋体" w:cs="Times New Roman"/>
                <w:kern w:val="0"/>
                <w:sz w:val="24"/>
                <w:szCs w:val="28"/>
              </w:rPr>
            </w:pPr>
            <w:r>
              <w:rPr>
                <w:rFonts w:ascii="Times New Roman" w:hAnsi="Times New Roman" w:eastAsia="宋体" w:cs="Times New Roman"/>
                <w:kern w:val="0"/>
                <w:sz w:val="24"/>
                <w:szCs w:val="28"/>
              </w:rPr>
              <w:t>0</w:t>
            </w:r>
          </w:p>
        </w:tc>
        <w:tc>
          <w:tcPr>
            <w:tcW w:w="930" w:type="pct"/>
            <w:tcBorders>
              <w:top w:val="single" w:color="auto" w:sz="8" w:space="0"/>
              <w:bottom w:val="single" w:color="auto" w:sz="8" w:space="0"/>
            </w:tcBorders>
            <w:vAlign w:val="center"/>
          </w:tcPr>
          <w:p w14:paraId="0E39ACF0">
            <w:pPr>
              <w:widowControl/>
              <w:spacing w:line="360" w:lineRule="auto"/>
              <w:jc w:val="center"/>
              <w:rPr>
                <w:rFonts w:ascii="Times New Roman" w:hAnsi="Times New Roman" w:eastAsia="宋体" w:cs="Times New Roman"/>
                <w:kern w:val="0"/>
                <w:sz w:val="24"/>
                <w:szCs w:val="28"/>
              </w:rPr>
            </w:pPr>
            <w:r>
              <w:rPr>
                <w:rFonts w:ascii="Times New Roman" w:hAnsi="Times New Roman" w:eastAsia="宋体" w:cs="Times New Roman"/>
                <w:kern w:val="0"/>
                <w:sz w:val="24"/>
                <w:szCs w:val="28"/>
              </w:rPr>
              <w:t>5</w:t>
            </w:r>
          </w:p>
        </w:tc>
        <w:tc>
          <w:tcPr>
            <w:tcW w:w="930" w:type="pct"/>
            <w:tcBorders>
              <w:top w:val="single" w:color="auto" w:sz="8" w:space="0"/>
              <w:bottom w:val="single" w:color="auto" w:sz="8" w:space="0"/>
            </w:tcBorders>
            <w:vAlign w:val="center"/>
          </w:tcPr>
          <w:p w14:paraId="55AC2A2F">
            <w:pPr>
              <w:widowControl/>
              <w:spacing w:line="360" w:lineRule="auto"/>
              <w:jc w:val="center"/>
              <w:rPr>
                <w:rFonts w:ascii="Times New Roman" w:hAnsi="Times New Roman" w:eastAsia="宋体" w:cs="Times New Roman"/>
                <w:kern w:val="0"/>
                <w:sz w:val="24"/>
                <w:szCs w:val="28"/>
              </w:rPr>
            </w:pPr>
            <w:r>
              <w:rPr>
                <w:rFonts w:ascii="Times New Roman" w:hAnsi="Times New Roman" w:eastAsia="宋体" w:cs="Times New Roman"/>
                <w:kern w:val="0"/>
                <w:sz w:val="24"/>
                <w:szCs w:val="28"/>
              </w:rPr>
              <w:t>10</w:t>
            </w:r>
          </w:p>
        </w:tc>
        <w:tc>
          <w:tcPr>
            <w:tcW w:w="928" w:type="pct"/>
            <w:tcBorders>
              <w:top w:val="single" w:color="auto" w:sz="8" w:space="0"/>
              <w:bottom w:val="single" w:color="auto" w:sz="8" w:space="0"/>
            </w:tcBorders>
            <w:vAlign w:val="center"/>
          </w:tcPr>
          <w:p w14:paraId="48DB335A">
            <w:pPr>
              <w:widowControl/>
              <w:spacing w:line="360" w:lineRule="auto"/>
              <w:jc w:val="center"/>
              <w:rPr>
                <w:rFonts w:ascii="Times New Roman" w:hAnsi="Times New Roman" w:eastAsia="宋体" w:cs="Times New Roman"/>
                <w:kern w:val="0"/>
                <w:sz w:val="24"/>
                <w:szCs w:val="28"/>
              </w:rPr>
            </w:pPr>
            <w:r>
              <w:rPr>
                <w:rFonts w:ascii="Times New Roman" w:hAnsi="Times New Roman" w:eastAsia="宋体" w:cs="Times New Roman"/>
                <w:kern w:val="0"/>
                <w:sz w:val="24"/>
                <w:szCs w:val="28"/>
              </w:rPr>
              <w:t>20</w:t>
            </w:r>
          </w:p>
        </w:tc>
      </w:tr>
      <w:tr w14:paraId="16AF563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24" w:type="pct"/>
            <w:tcBorders>
              <w:top w:val="single" w:color="auto" w:sz="8" w:space="0"/>
            </w:tcBorders>
            <w:vAlign w:val="center"/>
          </w:tcPr>
          <w:p w14:paraId="71DF8673">
            <w:pPr>
              <w:widowControl/>
              <w:spacing w:line="360" w:lineRule="auto"/>
              <w:jc w:val="center"/>
              <w:rPr>
                <w:rFonts w:ascii="Times New Roman" w:hAnsi="Times New Roman" w:eastAsia="宋体" w:cs="Times New Roman"/>
                <w:kern w:val="0"/>
                <w:sz w:val="24"/>
                <w:szCs w:val="28"/>
              </w:rPr>
            </w:pPr>
            <w:r>
              <w:rPr>
                <w:rFonts w:ascii="Times New Roman" w:hAnsi="Times New Roman" w:eastAsia="宋体" w:cs="Times New Roman"/>
                <w:kern w:val="0"/>
                <w:sz w:val="24"/>
                <w:szCs w:val="28"/>
                <w:vertAlign w:val="superscript"/>
              </w:rPr>
              <w:t>15</w:t>
            </w:r>
            <w:r>
              <w:rPr>
                <w:rFonts w:ascii="Times New Roman" w:hAnsi="Times New Roman" w:eastAsia="宋体" w:cs="Times New Roman"/>
                <w:kern w:val="0"/>
                <w:sz w:val="24"/>
                <w:szCs w:val="28"/>
              </w:rPr>
              <w:t>NH</w:t>
            </w:r>
            <w:r>
              <w:rPr>
                <w:rFonts w:ascii="Times New Roman" w:hAnsi="Times New Roman" w:eastAsia="宋体" w:cs="Times New Roman"/>
                <w:kern w:val="0"/>
                <w:sz w:val="24"/>
                <w:szCs w:val="28"/>
                <w:vertAlign w:val="subscript"/>
              </w:rPr>
              <w:t>4</w:t>
            </w:r>
            <w:r>
              <w:rPr>
                <w:rFonts w:ascii="Times New Roman" w:hAnsi="Times New Roman" w:eastAsia="宋体" w:cs="Times New Roman"/>
                <w:kern w:val="0"/>
                <w:sz w:val="24"/>
                <w:szCs w:val="28"/>
                <w:vertAlign w:val="superscript"/>
              </w:rPr>
              <w:t>+</w:t>
            </w:r>
            <w:r>
              <w:rPr>
                <w:rFonts w:ascii="Times New Roman" w:hAnsi="Times New Roman" w:eastAsia="宋体" w:cs="Times New Roman"/>
                <w:kern w:val="0"/>
                <w:sz w:val="24"/>
                <w:szCs w:val="28"/>
              </w:rPr>
              <w:t>-N (mg)</w:t>
            </w:r>
          </w:p>
        </w:tc>
        <w:tc>
          <w:tcPr>
            <w:tcW w:w="888" w:type="pct"/>
            <w:tcBorders>
              <w:top w:val="single" w:color="auto" w:sz="8" w:space="0"/>
            </w:tcBorders>
            <w:vAlign w:val="center"/>
          </w:tcPr>
          <w:p w14:paraId="2735CFD5">
            <w:pPr>
              <w:widowControl/>
              <w:spacing w:line="360" w:lineRule="auto"/>
              <w:jc w:val="center"/>
              <w:rPr>
                <w:rFonts w:ascii="Times New Roman" w:hAnsi="Times New Roman" w:eastAsia="宋体" w:cs="Times New Roman"/>
                <w:kern w:val="0"/>
                <w:sz w:val="24"/>
                <w:szCs w:val="28"/>
              </w:rPr>
            </w:pPr>
            <w:r>
              <w:rPr>
                <w:rFonts w:ascii="Times New Roman" w:hAnsi="Times New Roman" w:eastAsia="宋体" w:cs="Times New Roman"/>
                <w:kern w:val="0"/>
                <w:sz w:val="24"/>
                <w:szCs w:val="28"/>
              </w:rPr>
              <w:t>107.10 ± 0.88</w:t>
            </w:r>
          </w:p>
        </w:tc>
        <w:tc>
          <w:tcPr>
            <w:tcW w:w="930" w:type="pct"/>
            <w:tcBorders>
              <w:top w:val="single" w:color="auto" w:sz="8" w:space="0"/>
            </w:tcBorders>
            <w:vAlign w:val="center"/>
          </w:tcPr>
          <w:p w14:paraId="5672E124">
            <w:pPr>
              <w:widowControl/>
              <w:spacing w:line="360" w:lineRule="auto"/>
              <w:jc w:val="center"/>
              <w:rPr>
                <w:rFonts w:ascii="Times New Roman" w:hAnsi="Times New Roman" w:eastAsia="宋体" w:cs="Times New Roman"/>
                <w:kern w:val="0"/>
                <w:sz w:val="24"/>
                <w:szCs w:val="28"/>
              </w:rPr>
            </w:pPr>
            <w:r>
              <w:rPr>
                <w:rFonts w:ascii="Times New Roman" w:hAnsi="Times New Roman" w:eastAsia="宋体" w:cs="Times New Roman"/>
                <w:kern w:val="0"/>
                <w:sz w:val="24"/>
                <w:szCs w:val="28"/>
              </w:rPr>
              <w:t>78.74 ± 4.15</w:t>
            </w:r>
          </w:p>
        </w:tc>
        <w:tc>
          <w:tcPr>
            <w:tcW w:w="930" w:type="pct"/>
            <w:tcBorders>
              <w:top w:val="single" w:color="auto" w:sz="8" w:space="0"/>
            </w:tcBorders>
            <w:vAlign w:val="center"/>
          </w:tcPr>
          <w:p w14:paraId="1033F5DA">
            <w:pPr>
              <w:widowControl/>
              <w:spacing w:line="360" w:lineRule="auto"/>
              <w:jc w:val="center"/>
              <w:rPr>
                <w:rFonts w:ascii="Times New Roman" w:hAnsi="Times New Roman" w:eastAsia="宋体" w:cs="Times New Roman"/>
                <w:kern w:val="0"/>
                <w:sz w:val="24"/>
                <w:szCs w:val="28"/>
              </w:rPr>
            </w:pPr>
            <w:r>
              <w:rPr>
                <w:rFonts w:ascii="Times New Roman" w:hAnsi="Times New Roman" w:eastAsia="宋体" w:cs="Times New Roman"/>
                <w:kern w:val="0"/>
                <w:sz w:val="24"/>
                <w:szCs w:val="28"/>
              </w:rPr>
              <w:t>58.85 ± 3.57</w:t>
            </w:r>
          </w:p>
        </w:tc>
        <w:tc>
          <w:tcPr>
            <w:tcW w:w="928" w:type="pct"/>
            <w:tcBorders>
              <w:top w:val="single" w:color="auto" w:sz="8" w:space="0"/>
            </w:tcBorders>
            <w:vAlign w:val="center"/>
          </w:tcPr>
          <w:p w14:paraId="346B6285">
            <w:pPr>
              <w:widowControl/>
              <w:spacing w:line="360" w:lineRule="auto"/>
              <w:jc w:val="center"/>
              <w:rPr>
                <w:rFonts w:ascii="Times New Roman" w:hAnsi="Times New Roman" w:eastAsia="宋体" w:cs="Times New Roman"/>
                <w:kern w:val="0"/>
                <w:sz w:val="24"/>
                <w:szCs w:val="28"/>
              </w:rPr>
            </w:pPr>
            <w:r>
              <w:rPr>
                <w:rFonts w:ascii="Times New Roman" w:hAnsi="Times New Roman" w:eastAsia="宋体" w:cs="Times New Roman"/>
                <w:kern w:val="0"/>
                <w:sz w:val="24"/>
                <w:szCs w:val="28"/>
              </w:rPr>
              <w:t>35.18 ± 2.78</w:t>
            </w:r>
          </w:p>
        </w:tc>
      </w:tr>
      <w:tr w14:paraId="4F98C598">
        <w:tblPrEx>
          <w:tblCellMar>
            <w:top w:w="0" w:type="dxa"/>
            <w:left w:w="108" w:type="dxa"/>
            <w:bottom w:w="0" w:type="dxa"/>
            <w:right w:w="108" w:type="dxa"/>
          </w:tblCellMar>
        </w:tblPrEx>
        <w:trPr>
          <w:jc w:val="center"/>
        </w:trPr>
        <w:tc>
          <w:tcPr>
            <w:tcW w:w="1324" w:type="pct"/>
            <w:vAlign w:val="center"/>
          </w:tcPr>
          <w:p w14:paraId="5F8C5EC4">
            <w:pPr>
              <w:widowControl/>
              <w:spacing w:line="360" w:lineRule="auto"/>
              <w:jc w:val="center"/>
              <w:rPr>
                <w:rFonts w:ascii="Times New Roman" w:hAnsi="Times New Roman" w:eastAsia="宋体" w:cs="Times New Roman"/>
                <w:kern w:val="0"/>
                <w:sz w:val="24"/>
                <w:szCs w:val="28"/>
              </w:rPr>
            </w:pPr>
            <w:r>
              <w:rPr>
                <w:rFonts w:ascii="Times New Roman" w:hAnsi="Times New Roman" w:eastAsia="宋体" w:cs="Times New Roman"/>
                <w:kern w:val="0"/>
                <w:sz w:val="24"/>
                <w:szCs w:val="28"/>
                <w:vertAlign w:val="superscript"/>
              </w:rPr>
              <w:t>15</w:t>
            </w:r>
            <w:r>
              <w:rPr>
                <w:rFonts w:ascii="Times New Roman" w:hAnsi="Times New Roman" w:eastAsia="宋体" w:cs="Times New Roman"/>
                <w:kern w:val="0"/>
                <w:sz w:val="24"/>
                <w:szCs w:val="28"/>
              </w:rPr>
              <w:t>NO</w:t>
            </w:r>
            <w:r>
              <w:rPr>
                <w:rFonts w:ascii="Times New Roman" w:hAnsi="Times New Roman" w:eastAsia="宋体" w:cs="Times New Roman"/>
                <w:kern w:val="0"/>
                <w:sz w:val="24"/>
                <w:szCs w:val="28"/>
                <w:vertAlign w:val="subscript"/>
              </w:rPr>
              <w:t>3</w:t>
            </w:r>
            <w:r>
              <w:rPr>
                <w:rFonts w:ascii="Times New Roman" w:hAnsi="Times New Roman" w:eastAsia="宋体" w:cs="Times New Roman"/>
                <w:kern w:val="0"/>
                <w:sz w:val="24"/>
                <w:szCs w:val="28"/>
                <w:vertAlign w:val="superscript"/>
              </w:rPr>
              <w:t>-</w:t>
            </w:r>
            <w:r>
              <w:rPr>
                <w:rFonts w:ascii="Times New Roman" w:hAnsi="Times New Roman" w:eastAsia="宋体" w:cs="Times New Roman"/>
                <w:kern w:val="0"/>
                <w:sz w:val="24"/>
                <w:szCs w:val="28"/>
              </w:rPr>
              <w:t>-N (mg)</w:t>
            </w:r>
          </w:p>
        </w:tc>
        <w:tc>
          <w:tcPr>
            <w:tcW w:w="888" w:type="pct"/>
            <w:vAlign w:val="center"/>
          </w:tcPr>
          <w:p w14:paraId="271C61AB">
            <w:pPr>
              <w:widowControl/>
              <w:spacing w:line="360" w:lineRule="auto"/>
              <w:jc w:val="center"/>
              <w:rPr>
                <w:rFonts w:ascii="Times New Roman" w:hAnsi="Times New Roman" w:eastAsia="宋体" w:cs="Times New Roman"/>
                <w:kern w:val="0"/>
                <w:sz w:val="24"/>
                <w:szCs w:val="28"/>
              </w:rPr>
            </w:pPr>
            <w:r>
              <w:rPr>
                <w:rFonts w:ascii="Times New Roman" w:hAnsi="Times New Roman" w:eastAsia="宋体" w:cs="Times New Roman"/>
                <w:kern w:val="0"/>
                <w:sz w:val="24"/>
                <w:szCs w:val="28"/>
              </w:rPr>
              <w:t>0</w:t>
            </w:r>
          </w:p>
        </w:tc>
        <w:tc>
          <w:tcPr>
            <w:tcW w:w="930" w:type="pct"/>
            <w:vAlign w:val="center"/>
          </w:tcPr>
          <w:p w14:paraId="06DB9625">
            <w:pPr>
              <w:widowControl/>
              <w:spacing w:line="360" w:lineRule="auto"/>
              <w:jc w:val="center"/>
              <w:rPr>
                <w:rFonts w:ascii="Times New Roman" w:hAnsi="Times New Roman" w:eastAsia="宋体" w:cs="Times New Roman"/>
                <w:kern w:val="0"/>
                <w:sz w:val="24"/>
                <w:szCs w:val="28"/>
              </w:rPr>
            </w:pPr>
            <w:r>
              <w:rPr>
                <w:rFonts w:ascii="Times New Roman" w:hAnsi="Times New Roman" w:eastAsia="宋体" w:cs="Times New Roman"/>
                <w:kern w:val="0"/>
                <w:sz w:val="24"/>
                <w:szCs w:val="28"/>
              </w:rPr>
              <w:t>1.02 ± 0.21</w:t>
            </w:r>
          </w:p>
        </w:tc>
        <w:tc>
          <w:tcPr>
            <w:tcW w:w="930" w:type="pct"/>
            <w:vAlign w:val="center"/>
          </w:tcPr>
          <w:p w14:paraId="311BC5AF">
            <w:pPr>
              <w:widowControl/>
              <w:spacing w:line="360" w:lineRule="auto"/>
              <w:jc w:val="center"/>
              <w:rPr>
                <w:rFonts w:ascii="Times New Roman" w:hAnsi="Times New Roman" w:eastAsia="宋体" w:cs="Times New Roman"/>
                <w:kern w:val="0"/>
                <w:sz w:val="24"/>
                <w:szCs w:val="28"/>
              </w:rPr>
            </w:pPr>
            <w:r>
              <w:rPr>
                <w:rFonts w:ascii="Times New Roman" w:hAnsi="Times New Roman" w:eastAsia="宋体" w:cs="Times New Roman"/>
                <w:kern w:val="0"/>
                <w:sz w:val="24"/>
                <w:szCs w:val="28"/>
              </w:rPr>
              <w:t>0.84 ± 0.10</w:t>
            </w:r>
          </w:p>
        </w:tc>
        <w:tc>
          <w:tcPr>
            <w:tcW w:w="928" w:type="pct"/>
            <w:vAlign w:val="center"/>
          </w:tcPr>
          <w:p w14:paraId="117BA5EA">
            <w:pPr>
              <w:widowControl/>
              <w:spacing w:line="360" w:lineRule="auto"/>
              <w:jc w:val="center"/>
              <w:rPr>
                <w:rFonts w:ascii="Times New Roman" w:hAnsi="Times New Roman" w:eastAsia="宋体" w:cs="Times New Roman"/>
                <w:kern w:val="0"/>
                <w:sz w:val="24"/>
                <w:szCs w:val="28"/>
              </w:rPr>
            </w:pPr>
            <w:r>
              <w:rPr>
                <w:rFonts w:ascii="Times New Roman" w:hAnsi="Times New Roman" w:eastAsia="宋体" w:cs="Times New Roman"/>
                <w:kern w:val="0"/>
                <w:sz w:val="24"/>
                <w:szCs w:val="28"/>
              </w:rPr>
              <w:t>0</w:t>
            </w:r>
          </w:p>
        </w:tc>
      </w:tr>
      <w:tr w14:paraId="7D0AE28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24" w:type="pct"/>
            <w:vAlign w:val="center"/>
          </w:tcPr>
          <w:p w14:paraId="32E12BEA">
            <w:pPr>
              <w:widowControl/>
              <w:spacing w:line="360" w:lineRule="auto"/>
              <w:jc w:val="center"/>
              <w:rPr>
                <w:rFonts w:ascii="Times New Roman" w:hAnsi="Times New Roman" w:eastAsia="宋体" w:cs="Times New Roman"/>
                <w:kern w:val="0"/>
                <w:sz w:val="24"/>
                <w:szCs w:val="28"/>
                <w:vertAlign w:val="superscript"/>
              </w:rPr>
            </w:pPr>
            <w:r>
              <w:rPr>
                <w:rFonts w:ascii="Times New Roman" w:hAnsi="Times New Roman" w:eastAsia="宋体" w:cs="Times New Roman"/>
                <w:kern w:val="0"/>
                <w:sz w:val="24"/>
                <w:szCs w:val="28"/>
                <w:vertAlign w:val="superscript"/>
              </w:rPr>
              <w:t>15</w:t>
            </w:r>
            <w:r>
              <w:rPr>
                <w:rFonts w:ascii="Times New Roman" w:hAnsi="Times New Roman" w:eastAsia="宋体" w:cs="Times New Roman"/>
                <w:kern w:val="0"/>
                <w:sz w:val="24"/>
                <w:szCs w:val="28"/>
              </w:rPr>
              <w:t>NO</w:t>
            </w:r>
            <w:r>
              <w:rPr>
                <w:rFonts w:ascii="Times New Roman" w:hAnsi="Times New Roman" w:eastAsia="宋体" w:cs="Times New Roman"/>
                <w:kern w:val="0"/>
                <w:sz w:val="24"/>
                <w:szCs w:val="28"/>
                <w:vertAlign w:val="subscript"/>
              </w:rPr>
              <w:t>2</w:t>
            </w:r>
            <w:r>
              <w:rPr>
                <w:rFonts w:ascii="Times New Roman" w:hAnsi="Times New Roman" w:eastAsia="宋体" w:cs="Times New Roman"/>
                <w:kern w:val="0"/>
                <w:sz w:val="24"/>
                <w:szCs w:val="28"/>
                <w:vertAlign w:val="superscript"/>
              </w:rPr>
              <w:t>-</w:t>
            </w:r>
            <w:r>
              <w:rPr>
                <w:rFonts w:ascii="Times New Roman" w:hAnsi="Times New Roman" w:eastAsia="宋体" w:cs="Times New Roman"/>
                <w:kern w:val="0"/>
                <w:sz w:val="24"/>
                <w:szCs w:val="28"/>
              </w:rPr>
              <w:t>-N (mg)</w:t>
            </w:r>
          </w:p>
        </w:tc>
        <w:tc>
          <w:tcPr>
            <w:tcW w:w="888" w:type="pct"/>
            <w:vAlign w:val="center"/>
          </w:tcPr>
          <w:p w14:paraId="035E85BB">
            <w:pPr>
              <w:widowControl/>
              <w:spacing w:line="360" w:lineRule="auto"/>
              <w:jc w:val="center"/>
              <w:rPr>
                <w:rFonts w:ascii="Times New Roman" w:hAnsi="Times New Roman" w:eastAsia="宋体" w:cs="Times New Roman"/>
                <w:kern w:val="0"/>
                <w:sz w:val="24"/>
                <w:szCs w:val="28"/>
              </w:rPr>
            </w:pPr>
            <w:r>
              <w:rPr>
                <w:rFonts w:ascii="Times New Roman" w:hAnsi="Times New Roman" w:eastAsia="宋体" w:cs="Times New Roman"/>
                <w:kern w:val="0"/>
                <w:sz w:val="24"/>
                <w:szCs w:val="28"/>
              </w:rPr>
              <w:t>0</w:t>
            </w:r>
          </w:p>
        </w:tc>
        <w:tc>
          <w:tcPr>
            <w:tcW w:w="930" w:type="pct"/>
            <w:vAlign w:val="center"/>
          </w:tcPr>
          <w:p w14:paraId="5C3D029E">
            <w:pPr>
              <w:widowControl/>
              <w:spacing w:line="360" w:lineRule="auto"/>
              <w:jc w:val="center"/>
              <w:rPr>
                <w:rFonts w:ascii="Times New Roman" w:hAnsi="Times New Roman" w:eastAsia="宋体" w:cs="Times New Roman"/>
                <w:kern w:val="0"/>
                <w:sz w:val="24"/>
                <w:szCs w:val="28"/>
              </w:rPr>
            </w:pPr>
            <w:r>
              <w:rPr>
                <w:rFonts w:ascii="Times New Roman" w:hAnsi="Times New Roman" w:eastAsia="宋体" w:cs="Times New Roman"/>
                <w:kern w:val="0"/>
                <w:sz w:val="24"/>
                <w:szCs w:val="28"/>
              </w:rPr>
              <w:t>0</w:t>
            </w:r>
          </w:p>
        </w:tc>
        <w:tc>
          <w:tcPr>
            <w:tcW w:w="930" w:type="pct"/>
            <w:vAlign w:val="center"/>
          </w:tcPr>
          <w:p w14:paraId="2B9A3D45">
            <w:pPr>
              <w:widowControl/>
              <w:spacing w:line="360" w:lineRule="auto"/>
              <w:jc w:val="center"/>
              <w:rPr>
                <w:rFonts w:ascii="Times New Roman" w:hAnsi="Times New Roman" w:eastAsia="宋体" w:cs="Times New Roman"/>
                <w:kern w:val="0"/>
                <w:sz w:val="24"/>
                <w:szCs w:val="28"/>
              </w:rPr>
            </w:pPr>
            <w:r>
              <w:rPr>
                <w:rFonts w:ascii="Times New Roman" w:hAnsi="Times New Roman" w:eastAsia="宋体" w:cs="Times New Roman"/>
                <w:kern w:val="0"/>
                <w:sz w:val="24"/>
                <w:szCs w:val="28"/>
              </w:rPr>
              <w:t>1.08 ± 0.11</w:t>
            </w:r>
          </w:p>
        </w:tc>
        <w:tc>
          <w:tcPr>
            <w:tcW w:w="928" w:type="pct"/>
            <w:vAlign w:val="center"/>
          </w:tcPr>
          <w:p w14:paraId="572D39AF">
            <w:pPr>
              <w:widowControl/>
              <w:spacing w:line="360" w:lineRule="auto"/>
              <w:jc w:val="center"/>
              <w:rPr>
                <w:rFonts w:ascii="Times New Roman" w:hAnsi="Times New Roman" w:eastAsia="宋体" w:cs="Times New Roman"/>
                <w:kern w:val="0"/>
                <w:sz w:val="24"/>
                <w:szCs w:val="28"/>
              </w:rPr>
            </w:pPr>
            <w:r>
              <w:rPr>
                <w:rFonts w:ascii="Times New Roman" w:hAnsi="Times New Roman" w:eastAsia="宋体" w:cs="Times New Roman"/>
                <w:kern w:val="0"/>
                <w:sz w:val="24"/>
                <w:szCs w:val="28"/>
              </w:rPr>
              <w:t>2.02 ± 0.21</w:t>
            </w:r>
          </w:p>
        </w:tc>
      </w:tr>
      <w:tr w14:paraId="0DB387E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24" w:type="pct"/>
            <w:vAlign w:val="center"/>
          </w:tcPr>
          <w:p w14:paraId="25A28F0C">
            <w:pPr>
              <w:widowControl/>
              <w:spacing w:line="360" w:lineRule="auto"/>
              <w:jc w:val="center"/>
              <w:rPr>
                <w:rFonts w:ascii="Times New Roman" w:hAnsi="Times New Roman" w:eastAsia="宋体" w:cs="Times New Roman"/>
                <w:kern w:val="0"/>
                <w:sz w:val="24"/>
                <w:szCs w:val="28"/>
                <w:vertAlign w:val="superscript"/>
              </w:rPr>
            </w:pPr>
            <w:r>
              <w:rPr>
                <w:rFonts w:ascii="Times New Roman" w:hAnsi="Times New Roman" w:eastAsia="宋体" w:cs="Times New Roman"/>
                <w:kern w:val="0"/>
                <w:sz w:val="24"/>
                <w:szCs w:val="28"/>
                <w:vertAlign w:val="superscript"/>
              </w:rPr>
              <w:t>15</w:t>
            </w:r>
            <w:r>
              <w:rPr>
                <w:rFonts w:ascii="Times New Roman" w:hAnsi="Times New Roman" w:eastAsia="宋体" w:cs="Times New Roman"/>
                <w:kern w:val="0"/>
                <w:sz w:val="24"/>
                <w:szCs w:val="28"/>
              </w:rPr>
              <w:t>N</w:t>
            </w:r>
            <w:r>
              <w:rPr>
                <w:rFonts w:ascii="Times New Roman" w:hAnsi="Times New Roman" w:eastAsia="宋体" w:cs="Times New Roman"/>
                <w:kern w:val="0"/>
                <w:sz w:val="24"/>
                <w:szCs w:val="28"/>
                <w:vertAlign w:val="subscript"/>
              </w:rPr>
              <w:t>2</w:t>
            </w:r>
            <w:r>
              <w:rPr>
                <w:rFonts w:ascii="Times New Roman" w:hAnsi="Times New Roman" w:eastAsia="宋体" w:cs="Times New Roman"/>
                <w:kern w:val="0"/>
                <w:sz w:val="24"/>
                <w:szCs w:val="28"/>
              </w:rPr>
              <w:t xml:space="preserve"> (mg)</w:t>
            </w:r>
          </w:p>
        </w:tc>
        <w:tc>
          <w:tcPr>
            <w:tcW w:w="888" w:type="pct"/>
            <w:vAlign w:val="center"/>
          </w:tcPr>
          <w:p w14:paraId="68568604">
            <w:pPr>
              <w:widowControl/>
              <w:spacing w:line="360" w:lineRule="auto"/>
              <w:jc w:val="center"/>
              <w:rPr>
                <w:rFonts w:ascii="Times New Roman" w:hAnsi="Times New Roman" w:eastAsia="宋体" w:cs="Times New Roman"/>
                <w:kern w:val="0"/>
                <w:sz w:val="24"/>
                <w:szCs w:val="28"/>
              </w:rPr>
            </w:pPr>
            <w:r>
              <w:rPr>
                <w:rFonts w:ascii="Times New Roman" w:hAnsi="Times New Roman" w:eastAsia="宋体" w:cs="Times New Roman"/>
                <w:kern w:val="0"/>
                <w:sz w:val="24"/>
                <w:szCs w:val="28"/>
              </w:rPr>
              <w:t>0</w:t>
            </w:r>
          </w:p>
        </w:tc>
        <w:tc>
          <w:tcPr>
            <w:tcW w:w="930" w:type="pct"/>
            <w:vAlign w:val="center"/>
          </w:tcPr>
          <w:p w14:paraId="5A602C4E">
            <w:pPr>
              <w:widowControl/>
              <w:spacing w:line="360" w:lineRule="auto"/>
              <w:jc w:val="center"/>
              <w:rPr>
                <w:rFonts w:ascii="Times New Roman" w:hAnsi="Times New Roman" w:eastAsia="宋体" w:cs="Times New Roman"/>
                <w:kern w:val="0"/>
                <w:sz w:val="24"/>
                <w:szCs w:val="28"/>
              </w:rPr>
            </w:pPr>
            <w:r>
              <w:rPr>
                <w:rFonts w:ascii="Times New Roman" w:hAnsi="Times New Roman" w:eastAsia="宋体" w:cs="Times New Roman"/>
                <w:kern w:val="0"/>
                <w:sz w:val="24"/>
                <w:szCs w:val="28"/>
              </w:rPr>
              <w:t>16.59 ± 1.33</w:t>
            </w:r>
          </w:p>
        </w:tc>
        <w:tc>
          <w:tcPr>
            <w:tcW w:w="930" w:type="pct"/>
            <w:vAlign w:val="center"/>
          </w:tcPr>
          <w:p w14:paraId="369098E8">
            <w:pPr>
              <w:widowControl/>
              <w:spacing w:line="360" w:lineRule="auto"/>
              <w:jc w:val="center"/>
              <w:rPr>
                <w:rFonts w:ascii="Times New Roman" w:hAnsi="Times New Roman" w:eastAsia="宋体" w:cs="Times New Roman"/>
                <w:kern w:val="0"/>
                <w:sz w:val="24"/>
                <w:szCs w:val="28"/>
              </w:rPr>
            </w:pPr>
            <w:r>
              <w:rPr>
                <w:rFonts w:ascii="Times New Roman" w:hAnsi="Times New Roman" w:eastAsia="宋体" w:cs="Times New Roman"/>
                <w:kern w:val="0"/>
                <w:sz w:val="24"/>
                <w:szCs w:val="28"/>
              </w:rPr>
              <w:t>33.29 ± 3.33</w:t>
            </w:r>
          </w:p>
        </w:tc>
        <w:tc>
          <w:tcPr>
            <w:tcW w:w="928" w:type="pct"/>
            <w:vAlign w:val="center"/>
          </w:tcPr>
          <w:p w14:paraId="6446DDB0">
            <w:pPr>
              <w:widowControl/>
              <w:spacing w:line="360" w:lineRule="auto"/>
              <w:jc w:val="center"/>
              <w:rPr>
                <w:rFonts w:ascii="Times New Roman" w:hAnsi="Times New Roman" w:eastAsia="宋体" w:cs="Times New Roman"/>
                <w:kern w:val="0"/>
                <w:sz w:val="24"/>
                <w:szCs w:val="28"/>
              </w:rPr>
            </w:pPr>
            <w:r>
              <w:rPr>
                <w:rFonts w:ascii="Times New Roman" w:hAnsi="Times New Roman" w:eastAsia="宋体" w:cs="Times New Roman"/>
                <w:kern w:val="0"/>
                <w:sz w:val="24"/>
                <w:szCs w:val="28"/>
              </w:rPr>
              <w:t>59.33 ± 4.75</w:t>
            </w:r>
          </w:p>
        </w:tc>
      </w:tr>
      <w:tr w14:paraId="1382882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24" w:type="pct"/>
            <w:vAlign w:val="center"/>
          </w:tcPr>
          <w:p w14:paraId="3B70552C">
            <w:pPr>
              <w:widowControl/>
              <w:spacing w:line="360" w:lineRule="auto"/>
              <w:jc w:val="center"/>
              <w:rPr>
                <w:rFonts w:ascii="Times New Roman" w:hAnsi="Times New Roman" w:eastAsia="宋体" w:cs="Times New Roman"/>
                <w:kern w:val="0"/>
                <w:sz w:val="24"/>
                <w:szCs w:val="28"/>
                <w:vertAlign w:val="superscript"/>
              </w:rPr>
            </w:pPr>
            <w:r>
              <w:rPr>
                <w:rFonts w:ascii="Times New Roman" w:hAnsi="Times New Roman" w:eastAsia="宋体" w:cs="Times New Roman"/>
                <w:kern w:val="0"/>
                <w:sz w:val="24"/>
                <w:szCs w:val="28"/>
                <w:vertAlign w:val="superscript"/>
              </w:rPr>
              <w:t>15</w:t>
            </w:r>
            <w:r>
              <w:rPr>
                <w:rFonts w:ascii="Times New Roman" w:hAnsi="Times New Roman" w:eastAsia="宋体" w:cs="Times New Roman"/>
                <w:kern w:val="0"/>
                <w:sz w:val="24"/>
                <w:szCs w:val="28"/>
              </w:rPr>
              <w:t>N</w:t>
            </w:r>
            <w:r>
              <w:rPr>
                <w:rFonts w:ascii="Times New Roman" w:hAnsi="Times New Roman" w:eastAsia="宋体" w:cs="Times New Roman"/>
                <w:kern w:val="0"/>
                <w:sz w:val="24"/>
                <w:szCs w:val="28"/>
                <w:vertAlign w:val="subscript"/>
              </w:rPr>
              <w:t>2</w:t>
            </w:r>
            <w:r>
              <w:rPr>
                <w:rFonts w:ascii="Times New Roman" w:hAnsi="Times New Roman" w:eastAsia="宋体" w:cs="Times New Roman"/>
                <w:kern w:val="0"/>
                <w:sz w:val="24"/>
                <w:szCs w:val="28"/>
              </w:rPr>
              <w:t>O (mg)</w:t>
            </w:r>
          </w:p>
        </w:tc>
        <w:tc>
          <w:tcPr>
            <w:tcW w:w="888" w:type="pct"/>
            <w:vAlign w:val="center"/>
          </w:tcPr>
          <w:p w14:paraId="5F8046AF">
            <w:pPr>
              <w:widowControl/>
              <w:spacing w:line="360" w:lineRule="auto"/>
              <w:jc w:val="center"/>
              <w:rPr>
                <w:rFonts w:ascii="Times New Roman" w:hAnsi="Times New Roman" w:eastAsia="宋体" w:cs="Times New Roman"/>
                <w:kern w:val="0"/>
                <w:sz w:val="24"/>
                <w:szCs w:val="28"/>
              </w:rPr>
            </w:pPr>
            <w:r>
              <w:rPr>
                <w:rFonts w:ascii="Times New Roman" w:hAnsi="Times New Roman" w:eastAsia="宋体" w:cs="Times New Roman"/>
                <w:kern w:val="0"/>
                <w:sz w:val="24"/>
                <w:szCs w:val="28"/>
              </w:rPr>
              <w:t>0</w:t>
            </w:r>
          </w:p>
        </w:tc>
        <w:tc>
          <w:tcPr>
            <w:tcW w:w="930" w:type="pct"/>
            <w:vAlign w:val="center"/>
          </w:tcPr>
          <w:p w14:paraId="57248F46">
            <w:pPr>
              <w:widowControl/>
              <w:spacing w:line="360" w:lineRule="auto"/>
              <w:jc w:val="center"/>
              <w:rPr>
                <w:rFonts w:ascii="Times New Roman" w:hAnsi="Times New Roman" w:eastAsia="宋体" w:cs="Times New Roman"/>
                <w:kern w:val="0"/>
                <w:sz w:val="24"/>
                <w:szCs w:val="28"/>
              </w:rPr>
            </w:pPr>
            <w:r>
              <w:rPr>
                <w:rFonts w:ascii="Times New Roman" w:hAnsi="Times New Roman" w:eastAsia="宋体" w:cs="Times New Roman"/>
                <w:kern w:val="0"/>
                <w:sz w:val="24"/>
                <w:szCs w:val="28"/>
              </w:rPr>
              <w:t>1.92 ± 0.23</w:t>
            </w:r>
          </w:p>
        </w:tc>
        <w:tc>
          <w:tcPr>
            <w:tcW w:w="930" w:type="pct"/>
            <w:vAlign w:val="center"/>
          </w:tcPr>
          <w:p w14:paraId="30995941">
            <w:pPr>
              <w:widowControl/>
              <w:spacing w:line="360" w:lineRule="auto"/>
              <w:jc w:val="center"/>
              <w:rPr>
                <w:rFonts w:ascii="Times New Roman" w:hAnsi="Times New Roman" w:eastAsia="宋体" w:cs="Times New Roman"/>
                <w:kern w:val="0"/>
                <w:sz w:val="24"/>
                <w:szCs w:val="28"/>
              </w:rPr>
            </w:pPr>
            <w:r>
              <w:rPr>
                <w:rFonts w:ascii="Times New Roman" w:hAnsi="Times New Roman" w:eastAsia="宋体" w:cs="Times New Roman"/>
                <w:kern w:val="0"/>
                <w:sz w:val="24"/>
                <w:szCs w:val="28"/>
              </w:rPr>
              <w:t>2.27 ± 0.34</w:t>
            </w:r>
          </w:p>
        </w:tc>
        <w:tc>
          <w:tcPr>
            <w:tcW w:w="928" w:type="pct"/>
            <w:vAlign w:val="center"/>
          </w:tcPr>
          <w:p w14:paraId="0601F0E0">
            <w:pPr>
              <w:widowControl/>
              <w:spacing w:line="360" w:lineRule="auto"/>
              <w:jc w:val="center"/>
              <w:rPr>
                <w:rFonts w:ascii="Times New Roman" w:hAnsi="Times New Roman" w:eastAsia="宋体" w:cs="Times New Roman"/>
                <w:kern w:val="0"/>
                <w:sz w:val="24"/>
                <w:szCs w:val="28"/>
              </w:rPr>
            </w:pPr>
            <w:r>
              <w:rPr>
                <w:rFonts w:ascii="Times New Roman" w:hAnsi="Times New Roman" w:eastAsia="宋体" w:cs="Times New Roman"/>
                <w:kern w:val="0"/>
                <w:sz w:val="24"/>
                <w:szCs w:val="28"/>
              </w:rPr>
              <w:t>2.34 ± 0.28</w:t>
            </w:r>
          </w:p>
        </w:tc>
      </w:tr>
      <w:tr w14:paraId="0AB0194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24" w:type="pct"/>
            <w:vAlign w:val="center"/>
          </w:tcPr>
          <w:p w14:paraId="11AF3F81">
            <w:pPr>
              <w:widowControl/>
              <w:spacing w:line="360" w:lineRule="auto"/>
              <w:jc w:val="center"/>
              <w:rPr>
                <w:rFonts w:ascii="Times New Roman" w:hAnsi="Times New Roman" w:eastAsia="宋体" w:cs="Times New Roman"/>
                <w:kern w:val="0"/>
                <w:sz w:val="24"/>
                <w:szCs w:val="28"/>
              </w:rPr>
            </w:pPr>
            <w:r>
              <w:rPr>
                <w:rFonts w:ascii="Times New Roman" w:hAnsi="Times New Roman" w:eastAsia="宋体" w:cs="Times New Roman"/>
                <w:kern w:val="0"/>
                <w:sz w:val="24"/>
                <w:szCs w:val="28"/>
              </w:rPr>
              <w:t>Organic nitrogen (mg)</w:t>
            </w:r>
          </w:p>
        </w:tc>
        <w:tc>
          <w:tcPr>
            <w:tcW w:w="888" w:type="pct"/>
            <w:vAlign w:val="center"/>
          </w:tcPr>
          <w:p w14:paraId="0B23F5D5">
            <w:pPr>
              <w:widowControl/>
              <w:spacing w:line="360" w:lineRule="auto"/>
              <w:jc w:val="center"/>
              <w:rPr>
                <w:rFonts w:ascii="Times New Roman" w:hAnsi="Times New Roman" w:eastAsia="宋体" w:cs="Times New Roman"/>
                <w:kern w:val="0"/>
                <w:sz w:val="24"/>
                <w:szCs w:val="28"/>
              </w:rPr>
            </w:pPr>
            <w:r>
              <w:rPr>
                <w:rFonts w:ascii="Times New Roman" w:hAnsi="Times New Roman" w:eastAsia="宋体" w:cs="Times New Roman"/>
                <w:kern w:val="0"/>
                <w:sz w:val="24"/>
                <w:szCs w:val="28"/>
              </w:rPr>
              <w:t>0</w:t>
            </w:r>
          </w:p>
        </w:tc>
        <w:tc>
          <w:tcPr>
            <w:tcW w:w="930" w:type="pct"/>
            <w:vAlign w:val="center"/>
          </w:tcPr>
          <w:p w14:paraId="7D9AA82B">
            <w:pPr>
              <w:widowControl/>
              <w:spacing w:line="360" w:lineRule="auto"/>
              <w:jc w:val="center"/>
              <w:rPr>
                <w:rFonts w:ascii="Times New Roman" w:hAnsi="Times New Roman" w:eastAsia="宋体" w:cs="Times New Roman"/>
                <w:kern w:val="0"/>
                <w:sz w:val="24"/>
                <w:szCs w:val="28"/>
              </w:rPr>
            </w:pPr>
            <w:r>
              <w:rPr>
                <w:rFonts w:ascii="Times New Roman" w:hAnsi="Times New Roman" w:eastAsia="宋体" w:cs="Times New Roman"/>
                <w:kern w:val="0"/>
                <w:sz w:val="24"/>
                <w:szCs w:val="28"/>
              </w:rPr>
              <w:t>0.42 ± 0.16</w:t>
            </w:r>
          </w:p>
        </w:tc>
        <w:tc>
          <w:tcPr>
            <w:tcW w:w="930" w:type="pct"/>
            <w:vAlign w:val="center"/>
          </w:tcPr>
          <w:p w14:paraId="313277E0">
            <w:pPr>
              <w:widowControl/>
              <w:spacing w:line="360" w:lineRule="auto"/>
              <w:jc w:val="center"/>
              <w:rPr>
                <w:rFonts w:ascii="Times New Roman" w:hAnsi="Times New Roman" w:eastAsia="宋体" w:cs="Times New Roman"/>
                <w:kern w:val="0"/>
                <w:sz w:val="24"/>
                <w:szCs w:val="28"/>
              </w:rPr>
            </w:pPr>
            <w:r>
              <w:rPr>
                <w:rFonts w:ascii="Times New Roman" w:hAnsi="Times New Roman" w:eastAsia="宋体" w:cs="Times New Roman"/>
                <w:kern w:val="0"/>
                <w:sz w:val="24"/>
                <w:szCs w:val="28"/>
              </w:rPr>
              <w:t>0.70 ± 0.19</w:t>
            </w:r>
          </w:p>
        </w:tc>
        <w:tc>
          <w:tcPr>
            <w:tcW w:w="928" w:type="pct"/>
            <w:vAlign w:val="center"/>
          </w:tcPr>
          <w:p w14:paraId="782DA8C2">
            <w:pPr>
              <w:widowControl/>
              <w:spacing w:line="360" w:lineRule="auto"/>
              <w:jc w:val="center"/>
              <w:rPr>
                <w:rFonts w:ascii="Times New Roman" w:hAnsi="Times New Roman" w:eastAsia="宋体" w:cs="Times New Roman"/>
                <w:kern w:val="0"/>
                <w:sz w:val="24"/>
                <w:szCs w:val="28"/>
              </w:rPr>
            </w:pPr>
            <w:r>
              <w:rPr>
                <w:rFonts w:ascii="Times New Roman" w:hAnsi="Times New Roman" w:eastAsia="宋体" w:cs="Times New Roman"/>
                <w:kern w:val="0"/>
                <w:sz w:val="24"/>
                <w:szCs w:val="28"/>
              </w:rPr>
              <w:t>0.16 ± 0.05</w:t>
            </w:r>
          </w:p>
        </w:tc>
      </w:tr>
      <w:tr w14:paraId="2E8EC04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24" w:type="pct"/>
            <w:vAlign w:val="center"/>
          </w:tcPr>
          <w:p w14:paraId="20C5B958">
            <w:pPr>
              <w:widowControl/>
              <w:spacing w:line="360" w:lineRule="auto"/>
              <w:jc w:val="center"/>
              <w:rPr>
                <w:rFonts w:ascii="Times New Roman" w:hAnsi="Times New Roman" w:eastAsia="宋体" w:cs="Times New Roman"/>
                <w:kern w:val="0"/>
                <w:sz w:val="24"/>
                <w:szCs w:val="28"/>
              </w:rPr>
            </w:pPr>
            <w:r>
              <w:rPr>
                <w:rFonts w:ascii="Times New Roman" w:hAnsi="Times New Roman" w:eastAsia="宋体" w:cs="Times New Roman"/>
                <w:kern w:val="0"/>
                <w:sz w:val="24"/>
                <w:szCs w:val="28"/>
              </w:rPr>
              <w:t xml:space="preserve">Others </w:t>
            </w:r>
            <w:r>
              <w:rPr>
                <w:rFonts w:ascii="Times New Roman" w:hAnsi="Times New Roman" w:eastAsia="宋体" w:cs="Times New Roman"/>
                <w:kern w:val="0"/>
                <w:sz w:val="24"/>
                <w:szCs w:val="28"/>
                <w:vertAlign w:val="superscript"/>
              </w:rPr>
              <w:t>a</w:t>
            </w:r>
            <w:r>
              <w:rPr>
                <w:rFonts w:ascii="Times New Roman" w:hAnsi="Times New Roman" w:eastAsia="宋体" w:cs="Times New Roman"/>
                <w:kern w:val="0"/>
                <w:sz w:val="24"/>
                <w:szCs w:val="28"/>
              </w:rPr>
              <w:t xml:space="preserve"> (mg) </w:t>
            </w:r>
          </w:p>
        </w:tc>
        <w:tc>
          <w:tcPr>
            <w:tcW w:w="888" w:type="pct"/>
            <w:vAlign w:val="center"/>
          </w:tcPr>
          <w:p w14:paraId="5C641991">
            <w:pPr>
              <w:widowControl/>
              <w:spacing w:line="360" w:lineRule="auto"/>
              <w:jc w:val="center"/>
              <w:rPr>
                <w:rFonts w:ascii="Times New Roman" w:hAnsi="Times New Roman" w:eastAsia="宋体" w:cs="Times New Roman"/>
                <w:kern w:val="0"/>
                <w:sz w:val="24"/>
                <w:szCs w:val="28"/>
              </w:rPr>
            </w:pPr>
            <w:r>
              <w:rPr>
                <w:rFonts w:ascii="Times New Roman" w:hAnsi="Times New Roman" w:eastAsia="宋体" w:cs="Times New Roman"/>
                <w:kern w:val="0"/>
                <w:sz w:val="24"/>
                <w:szCs w:val="28"/>
              </w:rPr>
              <w:t>0</w:t>
            </w:r>
          </w:p>
        </w:tc>
        <w:tc>
          <w:tcPr>
            <w:tcW w:w="930" w:type="pct"/>
            <w:vAlign w:val="center"/>
          </w:tcPr>
          <w:p w14:paraId="0735BD26">
            <w:pPr>
              <w:widowControl/>
              <w:spacing w:line="360" w:lineRule="auto"/>
              <w:jc w:val="center"/>
              <w:rPr>
                <w:rFonts w:ascii="Times New Roman" w:hAnsi="Times New Roman" w:eastAsia="宋体" w:cs="Times New Roman"/>
                <w:kern w:val="0"/>
                <w:sz w:val="24"/>
                <w:szCs w:val="28"/>
              </w:rPr>
            </w:pPr>
            <w:r>
              <w:rPr>
                <w:rFonts w:ascii="Times New Roman" w:hAnsi="Times New Roman" w:eastAsia="宋体" w:cs="Times New Roman"/>
                <w:kern w:val="0"/>
                <w:sz w:val="24"/>
                <w:szCs w:val="28"/>
              </w:rPr>
              <w:t>8.41 ± 4.31</w:t>
            </w:r>
          </w:p>
        </w:tc>
        <w:tc>
          <w:tcPr>
            <w:tcW w:w="930" w:type="pct"/>
            <w:vAlign w:val="center"/>
          </w:tcPr>
          <w:p w14:paraId="33A61CBE">
            <w:pPr>
              <w:widowControl/>
              <w:spacing w:line="360" w:lineRule="auto"/>
              <w:jc w:val="center"/>
              <w:rPr>
                <w:rFonts w:ascii="Times New Roman" w:hAnsi="Times New Roman" w:eastAsia="宋体" w:cs="Times New Roman"/>
                <w:kern w:val="0"/>
                <w:sz w:val="24"/>
                <w:szCs w:val="28"/>
              </w:rPr>
            </w:pPr>
            <w:r>
              <w:rPr>
                <w:rFonts w:ascii="Times New Roman" w:hAnsi="Times New Roman" w:eastAsia="宋体" w:cs="Times New Roman"/>
                <w:kern w:val="0"/>
                <w:sz w:val="24"/>
                <w:szCs w:val="28"/>
              </w:rPr>
              <w:t>10.07 ± 4.58</w:t>
            </w:r>
          </w:p>
        </w:tc>
        <w:tc>
          <w:tcPr>
            <w:tcW w:w="928" w:type="pct"/>
            <w:vAlign w:val="center"/>
          </w:tcPr>
          <w:p w14:paraId="06A978DF">
            <w:pPr>
              <w:widowControl/>
              <w:spacing w:line="360" w:lineRule="auto"/>
              <w:jc w:val="center"/>
              <w:rPr>
                <w:rFonts w:ascii="Times New Roman" w:hAnsi="Times New Roman" w:eastAsia="宋体" w:cs="Times New Roman"/>
                <w:kern w:val="0"/>
                <w:sz w:val="24"/>
                <w:szCs w:val="28"/>
              </w:rPr>
            </w:pPr>
            <w:r>
              <w:rPr>
                <w:rFonts w:ascii="Times New Roman" w:hAnsi="Times New Roman" w:eastAsia="宋体" w:cs="Times New Roman"/>
                <w:kern w:val="0"/>
                <w:sz w:val="24"/>
                <w:szCs w:val="28"/>
              </w:rPr>
              <w:t>8.07 ± 5.18</w:t>
            </w:r>
          </w:p>
        </w:tc>
      </w:tr>
      <w:bookmarkEnd w:id="10"/>
    </w:tbl>
    <w:p w14:paraId="35743A24">
      <w:pPr>
        <w:widowControl/>
        <w:spacing w:line="480" w:lineRule="auto"/>
        <w:jc w:val="left"/>
        <w:rPr>
          <w:rFonts w:ascii="Times New Roman" w:hAnsi="Times New Roman" w:cs="Times New Roman"/>
          <w:sz w:val="24"/>
          <w:szCs w:val="28"/>
        </w:rPr>
      </w:pPr>
      <w:r>
        <w:rPr>
          <w:rFonts w:ascii="Times New Roman" w:hAnsi="Times New Roman" w:cs="Times New Roman"/>
          <w:sz w:val="24"/>
          <w:szCs w:val="28"/>
          <w:vertAlign w:val="superscript"/>
        </w:rPr>
        <w:t>a</w:t>
      </w:r>
      <w:r>
        <w:rPr>
          <w:rFonts w:ascii="Times New Roman" w:hAnsi="Times New Roman" w:cs="Times New Roman"/>
          <w:sz w:val="24"/>
          <w:szCs w:val="28"/>
        </w:rPr>
        <w:t xml:space="preserve"> The 'Others' category represents the unaccounted fraction of the nitrogen balance, calculated as the difference between the initial input of </w:t>
      </w:r>
      <w:r>
        <w:rPr>
          <w:rFonts w:ascii="Times New Roman" w:hAnsi="Times New Roman" w:eastAsia="宋体" w:cs="Times New Roman"/>
          <w:sz w:val="24"/>
          <w:szCs w:val="28"/>
          <w:vertAlign w:val="superscript"/>
        </w:rPr>
        <w:t>15</w:t>
      </w:r>
      <w:r>
        <w:rPr>
          <w:rFonts w:ascii="Times New Roman" w:hAnsi="Times New Roman" w:eastAsia="宋体" w:cs="Times New Roman"/>
          <w:sz w:val="24"/>
          <w:szCs w:val="28"/>
        </w:rPr>
        <w:t>N</w:t>
      </w:r>
      <w:r>
        <w:rPr>
          <w:rFonts w:ascii="Times New Roman" w:hAnsi="Times New Roman" w:cs="Times New Roman"/>
          <w:sz w:val="24"/>
          <w:szCs w:val="28"/>
        </w:rPr>
        <w:t xml:space="preserve"> and the total of all measured </w:t>
      </w:r>
      <w:r>
        <w:rPr>
          <w:rFonts w:ascii="Times New Roman" w:hAnsi="Times New Roman" w:eastAsia="宋体" w:cs="Times New Roman"/>
          <w:sz w:val="24"/>
          <w:szCs w:val="28"/>
          <w:vertAlign w:val="superscript"/>
        </w:rPr>
        <w:t>15</w:t>
      </w:r>
      <w:r>
        <w:rPr>
          <w:rFonts w:ascii="Times New Roman" w:hAnsi="Times New Roman" w:eastAsia="宋体" w:cs="Times New Roman"/>
          <w:sz w:val="24"/>
          <w:szCs w:val="28"/>
        </w:rPr>
        <w:t>N</w:t>
      </w:r>
      <w:r>
        <w:rPr>
          <w:rFonts w:ascii="Times New Roman" w:hAnsi="Times New Roman" w:cs="Times New Roman"/>
          <w:sz w:val="24"/>
          <w:szCs w:val="28"/>
        </w:rPr>
        <w:t xml:space="preserve"> pools. This fraction accounted for approximately 7.54% to 9.40% of the total </w:t>
      </w:r>
      <w:r>
        <w:rPr>
          <w:rFonts w:ascii="Times New Roman" w:hAnsi="Times New Roman" w:eastAsia="宋体" w:cs="Times New Roman"/>
          <w:sz w:val="24"/>
          <w:szCs w:val="28"/>
          <w:vertAlign w:val="superscript"/>
        </w:rPr>
        <w:t>15</w:t>
      </w:r>
      <w:r>
        <w:rPr>
          <w:rFonts w:ascii="Times New Roman" w:hAnsi="Times New Roman" w:eastAsia="宋体" w:cs="Times New Roman"/>
          <w:sz w:val="24"/>
          <w:szCs w:val="28"/>
        </w:rPr>
        <w:t>N</w:t>
      </w:r>
      <w:r>
        <w:rPr>
          <w:rFonts w:ascii="Times New Roman" w:hAnsi="Times New Roman" w:cs="Times New Roman"/>
          <w:sz w:val="24"/>
          <w:szCs w:val="28"/>
        </w:rPr>
        <w:t xml:space="preserve"> and may theoretically encompass intermediate products that fall below the detection limit (e.g., hydroxylamine and hydrazine), unidentified gaseous losses (e.g., NO), and potential experimental measurement errors.</w:t>
      </w:r>
    </w:p>
    <w:p w14:paraId="46E74DB2">
      <w:pPr>
        <w:widowControl/>
        <w:spacing w:line="480" w:lineRule="auto"/>
        <w:rPr>
          <w:rFonts w:ascii="Times New Roman" w:hAnsi="Times New Roman" w:eastAsia="宋体" w:cs="Times New Roman"/>
          <w:sz w:val="24"/>
          <w:szCs w:val="28"/>
        </w:rPr>
      </w:pPr>
      <w:r>
        <w:rPr>
          <w:rFonts w:ascii="Times New Roman" w:hAnsi="Times New Roman" w:eastAsia="宋体" w:cs="Times New Roman"/>
          <w:sz w:val="24"/>
          <w:szCs w:val="28"/>
        </w:rPr>
        <w:br w:type="page"/>
      </w:r>
    </w:p>
    <w:p w14:paraId="339673F4">
      <w:pPr>
        <w:spacing w:line="360" w:lineRule="auto"/>
        <w:rPr>
          <w:rFonts w:ascii="Times New Roman" w:hAnsi="Times New Roman" w:cs="Times New Roman"/>
          <w:b/>
          <w:bCs/>
          <w:color w:val="000000" w:themeColor="text1"/>
          <w:sz w:val="24"/>
          <w:szCs w:val="24"/>
          <w:shd w:val="clear" w:color="auto" w:fill="FFFFFF"/>
          <w14:textFill>
            <w14:solidFill>
              <w14:schemeClr w14:val="tx1"/>
            </w14:solidFill>
          </w14:textFill>
        </w:rPr>
      </w:pPr>
      <w:r>
        <w:rPr>
          <w:rFonts w:ascii="Times New Roman" w:hAnsi="Times New Roman" w:cs="Times New Roman"/>
          <w:b/>
          <w:bCs/>
          <w:color w:val="000000" w:themeColor="text1"/>
          <w:sz w:val="24"/>
          <w:szCs w:val="24"/>
          <w:shd w:val="clear" w:color="auto" w:fill="FFFFFF"/>
          <w14:textFill>
            <w14:solidFill>
              <w14:schemeClr w14:val="tx1"/>
            </w14:solidFill>
          </w14:textFill>
        </w:rPr>
        <w:t>Supplementary Table 2.5 Phase-specific additional TAN removal and associated methane-production penalty under micro-aeration.</w:t>
      </w:r>
    </w:p>
    <w:tbl>
      <w:tblPr>
        <w:tblStyle w:val="8"/>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26"/>
        <w:gridCol w:w="1527"/>
        <w:gridCol w:w="1845"/>
        <w:gridCol w:w="1307"/>
        <w:gridCol w:w="3333"/>
      </w:tblGrid>
      <w:tr w14:paraId="27850E7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90" w:hRule="atLeast"/>
        </w:trPr>
        <w:tc>
          <w:tcPr>
            <w:tcW w:w="844" w:type="pct"/>
            <w:tcBorders>
              <w:bottom w:val="single" w:color="auto" w:sz="8" w:space="0"/>
            </w:tcBorders>
            <w:vAlign w:val="center"/>
          </w:tcPr>
          <w:p w14:paraId="2DEB3561">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Phase</w:t>
            </w:r>
          </w:p>
        </w:tc>
        <w:tc>
          <w:tcPr>
            <w:tcW w:w="792" w:type="pct"/>
            <w:tcBorders>
              <w:bottom w:val="single" w:color="auto" w:sz="8" w:space="0"/>
            </w:tcBorders>
            <w:vAlign w:val="center"/>
          </w:tcPr>
          <w:p w14:paraId="336B86A2">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ΔC</w:t>
            </w:r>
            <w:r>
              <w:rPr>
                <w:rFonts w:ascii="Times New Roman" w:hAnsi="Times New Roman" w:eastAsia="等线" w:cs="Times New Roman"/>
                <w:color w:val="000000" w:themeColor="text1"/>
                <w:kern w:val="0"/>
                <w:sz w:val="24"/>
                <w:szCs w:val="24"/>
                <w:vertAlign w:val="subscript"/>
                <w14:textFill>
                  <w14:solidFill>
                    <w14:schemeClr w14:val="tx1"/>
                  </w14:solidFill>
                </w14:textFill>
              </w:rPr>
              <w:t>TAN</w:t>
            </w:r>
          </w:p>
          <w:p w14:paraId="3F18B7C3">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(mg L</w:t>
            </w:r>
            <w:r>
              <w:rPr>
                <w:rFonts w:ascii="Times New Roman" w:hAnsi="Times New Roman" w:eastAsia="等线" w:cs="Times New Roman"/>
                <w:color w:val="000000" w:themeColor="text1"/>
                <w:kern w:val="0"/>
                <w:sz w:val="24"/>
                <w:szCs w:val="24"/>
                <w:vertAlign w:val="superscript"/>
                <w14:textFill>
                  <w14:solidFill>
                    <w14:schemeClr w14:val="tx1"/>
                  </w14:solidFill>
                </w14:textFill>
              </w:rPr>
              <w:t>-1</w:t>
            </w:r>
            <w:r>
              <w:rPr>
                <w:rFonts w:ascii="Times New Roman" w:hAnsi="Times New Roman" w:eastAsia="等线" w:cs="Times New Roman"/>
                <w:color w:val="000000" w:themeColor="text1"/>
                <w:kern w:val="0"/>
                <w:sz w:val="24"/>
                <w:szCs w:val="24"/>
                <w14:textFill>
                  <w14:solidFill>
                    <w14:schemeClr w14:val="tx1"/>
                  </w14:solidFill>
                </w14:textFill>
              </w:rPr>
              <w:t>)</w:t>
            </w:r>
          </w:p>
        </w:tc>
        <w:tc>
          <w:tcPr>
            <w:tcW w:w="957" w:type="pct"/>
            <w:tcBorders>
              <w:bottom w:val="single" w:color="auto" w:sz="8" w:space="0"/>
            </w:tcBorders>
            <w:vAlign w:val="center"/>
          </w:tcPr>
          <w:p w14:paraId="324E958C">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N</w:t>
            </w:r>
            <w:r>
              <w:rPr>
                <w:rFonts w:ascii="Times New Roman" w:hAnsi="Times New Roman" w:eastAsia="等线" w:cs="Times New Roman"/>
                <w:color w:val="000000" w:themeColor="text1"/>
                <w:kern w:val="0"/>
                <w:sz w:val="24"/>
                <w:szCs w:val="24"/>
                <w:vertAlign w:val="subscript"/>
                <w14:textFill>
                  <w14:solidFill>
                    <w14:schemeClr w14:val="tx1"/>
                  </w14:solidFill>
                </w14:textFill>
              </w:rPr>
              <w:t>TAN</w:t>
            </w:r>
          </w:p>
          <w:p w14:paraId="0BCBF04F">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(mg TAN)</w:t>
            </w:r>
          </w:p>
        </w:tc>
        <w:tc>
          <w:tcPr>
            <w:tcW w:w="678" w:type="pct"/>
            <w:tcBorders>
              <w:bottom w:val="single" w:color="auto" w:sz="8" w:space="0"/>
            </w:tcBorders>
            <w:vAlign w:val="center"/>
          </w:tcPr>
          <w:p w14:paraId="29CEAF03">
            <w:pPr>
              <w:widowControl/>
              <w:spacing w:line="360" w:lineRule="auto"/>
              <w:jc w:val="center"/>
              <w:rPr>
                <w:rFonts w:ascii="Times New Roman" w:hAnsi="Times New Roman" w:eastAsia="等线" w:cs="Times New Roman"/>
                <w:color w:val="000000" w:themeColor="text1"/>
                <w:sz w:val="24"/>
                <w:szCs w:val="24"/>
                <w14:textFill>
                  <w14:solidFill>
                    <w14:schemeClr w14:val="tx1"/>
                  </w14:solidFill>
                </w14:textFill>
              </w:rPr>
            </w:pPr>
            <m:oMathPara>
              <m:oMath>
                <m:sSub>
                  <m:sSubPr>
                    <m:ctrlPr>
                      <w:rPr>
                        <w:rFonts w:ascii="Cambria Math" w:hAnsi="Cambria Math" w:cs="Times New Roman"/>
                        <w:color w:val="000000" w:themeColor="text1"/>
                        <w:sz w:val="24"/>
                        <w:szCs w:val="24"/>
                        <w14:textFill>
                          <w14:solidFill>
                            <w14:schemeClr w14:val="tx1"/>
                          </w14:solidFill>
                        </w14:textFill>
                      </w:rPr>
                    </m:ctrlPr>
                  </m:sSubPr>
                  <m:e>
                    <m:sSub>
                      <m:sSubPr>
                        <m:ctrlPr>
                          <w:rPr>
                            <w:rFonts w:ascii="Cambria Math" w:hAnsi="Cambria Math" w:cs="Times New Roman"/>
                            <w:color w:val="000000" w:themeColor="text1"/>
                            <w:sz w:val="24"/>
                            <w:szCs w:val="24"/>
                            <w14:textFill>
                              <w14:solidFill>
                                <w14:schemeClr w14:val="tx1"/>
                              </w14:solidFill>
                            </w14:textFill>
                          </w:rPr>
                        </m:ctrlPr>
                      </m:sSubPr>
                      <m:e>
                        <m:r>
                          <m:rPr>
                            <m:nor/>
                            <m:sty m:val="p"/>
                          </m:rPr>
                          <w:rPr>
                            <w:rFonts w:ascii="Times New Roman" w:hAnsi="Times New Roman" w:cs="Times New Roman"/>
                            <w:color w:val="000000" w:themeColor="text1"/>
                            <w:sz w:val="24"/>
                            <w:szCs w:val="24"/>
                            <w14:textFill>
                              <w14:solidFill>
                                <w14:schemeClr w14:val="tx1"/>
                              </w14:solidFill>
                            </w14:textFill>
                          </w:rPr>
                          <m:t>L</m:t>
                        </m:r>
                        <m:ctrlPr>
                          <w:rPr>
                            <w:rFonts w:ascii="Cambria Math" w:hAnsi="Cambria Math" w:cs="Times New Roman"/>
                            <w:color w:val="000000" w:themeColor="text1"/>
                            <w:sz w:val="24"/>
                            <w:szCs w:val="24"/>
                            <w14:textFill>
                              <w14:solidFill>
                                <w14:schemeClr w14:val="tx1"/>
                              </w14:solidFill>
                            </w14:textFill>
                          </w:rPr>
                        </m:ctrlPr>
                      </m:e>
                      <m:sub>
                        <m:r>
                          <m:rPr>
                            <m:nor/>
                            <m:sty m:val="p"/>
                          </m:rPr>
                          <w:rPr>
                            <w:rFonts w:ascii="Times New Roman" w:hAnsi="Times New Roman" w:cs="Times New Roman"/>
                            <w:color w:val="000000" w:themeColor="text1"/>
                            <w:sz w:val="24"/>
                            <w:szCs w:val="24"/>
                            <w14:textFill>
                              <w14:solidFill>
                                <w14:schemeClr w14:val="tx1"/>
                              </w14:solidFill>
                            </w14:textFill>
                          </w:rPr>
                          <m:t>CH</m:t>
                        </m:r>
                        <m:ctrlPr>
                          <w:rPr>
                            <w:rFonts w:ascii="Cambria Math" w:hAnsi="Cambria Math" w:cs="Times New Roman"/>
                            <w:color w:val="000000" w:themeColor="text1"/>
                            <w:sz w:val="24"/>
                            <w:szCs w:val="24"/>
                            <w14:textFill>
                              <w14:solidFill>
                                <w14:schemeClr w14:val="tx1"/>
                              </w14:solidFill>
                            </w14:textFill>
                          </w:rPr>
                        </m:ctrlPr>
                      </m:sub>
                    </m:sSub>
                    <m:ctrlPr>
                      <w:rPr>
                        <w:rFonts w:ascii="Cambria Math" w:hAnsi="Cambria Math" w:cs="Times New Roman"/>
                        <w:color w:val="000000" w:themeColor="text1"/>
                        <w:sz w:val="24"/>
                        <w:szCs w:val="24"/>
                        <w14:textFill>
                          <w14:solidFill>
                            <w14:schemeClr w14:val="tx1"/>
                          </w14:solidFill>
                        </w14:textFill>
                      </w:rPr>
                    </m:ctrlPr>
                  </m:e>
                  <m:sub>
                    <m:r>
                      <m:rPr>
                        <m:nor/>
                        <m:sty m:val="p"/>
                      </m:rPr>
                      <w:rPr>
                        <w:rFonts w:ascii="Times New Roman" w:hAnsi="Times New Roman" w:cs="Times New Roman"/>
                        <w:color w:val="000000" w:themeColor="text1"/>
                        <w:sz w:val="24"/>
                        <w:szCs w:val="24"/>
                        <w14:textFill>
                          <w14:solidFill>
                            <w14:schemeClr w14:val="tx1"/>
                          </w14:solidFill>
                        </w14:textFill>
                      </w:rPr>
                      <m:t>4</m:t>
                    </m:r>
                    <m:ctrlPr>
                      <w:rPr>
                        <w:rFonts w:ascii="Cambria Math" w:hAnsi="Cambria Math" w:cs="Times New Roman"/>
                        <w:color w:val="000000" w:themeColor="text1"/>
                        <w:sz w:val="24"/>
                        <w:szCs w:val="24"/>
                        <w14:textFill>
                          <w14:solidFill>
                            <w14:schemeClr w14:val="tx1"/>
                          </w14:solidFill>
                        </w14:textFill>
                      </w:rPr>
                    </m:ctrlPr>
                  </m:sub>
                </m:sSub>
              </m:oMath>
            </m:oMathPara>
          </w:p>
          <w:p w14:paraId="791CD549">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(mL)</w:t>
            </w:r>
          </w:p>
        </w:tc>
        <w:tc>
          <w:tcPr>
            <w:tcW w:w="1730" w:type="pct"/>
            <w:tcBorders>
              <w:bottom w:val="single" w:color="auto" w:sz="8" w:space="0"/>
            </w:tcBorders>
            <w:vAlign w:val="center"/>
          </w:tcPr>
          <w:p w14:paraId="622F517F">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 xml:space="preserve">Θ </w:t>
            </w:r>
            <w:r>
              <w:rPr>
                <w:rFonts w:ascii="Times New Roman" w:hAnsi="Times New Roman" w:eastAsia="等线" w:cs="Times New Roman"/>
                <w:color w:val="000000" w:themeColor="text1"/>
                <w:kern w:val="0"/>
                <w:sz w:val="24"/>
                <w:szCs w:val="24"/>
                <w:vertAlign w:val="superscript"/>
                <w14:textFill>
                  <w14:solidFill>
                    <w14:schemeClr w14:val="tx1"/>
                  </w14:solidFill>
                </w14:textFill>
              </w:rPr>
              <w:t>a</w:t>
            </w:r>
          </w:p>
          <w:p w14:paraId="4C565844">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(mL CH</w:t>
            </w:r>
            <w:r>
              <w:rPr>
                <w:rFonts w:ascii="Times New Roman" w:hAnsi="Times New Roman" w:eastAsia="等线" w:cs="Times New Roman"/>
                <w:color w:val="000000" w:themeColor="text1"/>
                <w:kern w:val="0"/>
                <w:sz w:val="24"/>
                <w:szCs w:val="24"/>
                <w:vertAlign w:val="subscript"/>
                <w14:textFill>
                  <w14:solidFill>
                    <w14:schemeClr w14:val="tx1"/>
                  </w14:solidFill>
                </w14:textFill>
              </w:rPr>
              <w:t>4</w:t>
            </w:r>
            <w:r>
              <w:rPr>
                <w:rFonts w:ascii="Times New Roman" w:hAnsi="Times New Roman" w:eastAsia="等线" w:cs="Times New Roman"/>
                <w:color w:val="000000" w:themeColor="text1"/>
                <w:kern w:val="0"/>
                <w:sz w:val="24"/>
                <w:szCs w:val="24"/>
                <w14:textFill>
                  <w14:solidFill>
                    <w14:schemeClr w14:val="tx1"/>
                  </w14:solidFill>
                </w14:textFill>
              </w:rPr>
              <w:t xml:space="preserve"> mg</w:t>
            </w:r>
            <w:r>
              <w:rPr>
                <w:rFonts w:ascii="Times New Roman" w:hAnsi="Times New Roman" w:eastAsia="等线" w:cs="Times New Roman"/>
                <w:color w:val="000000" w:themeColor="text1"/>
                <w:kern w:val="0"/>
                <w:sz w:val="24"/>
                <w:szCs w:val="24"/>
                <w:vertAlign w:val="superscript"/>
                <w14:textFill>
                  <w14:solidFill>
                    <w14:schemeClr w14:val="tx1"/>
                  </w14:solidFill>
                </w14:textFill>
              </w:rPr>
              <w:t>-1</w:t>
            </w:r>
            <w:r>
              <w:rPr>
                <w:rFonts w:ascii="Times New Roman" w:hAnsi="Times New Roman" w:eastAsia="等线" w:cs="Times New Roman"/>
                <w:color w:val="000000" w:themeColor="text1"/>
                <w:kern w:val="0"/>
                <w:sz w:val="24"/>
                <w:szCs w:val="24"/>
                <w14:textFill>
                  <w14:solidFill>
                    <w14:schemeClr w14:val="tx1"/>
                  </w14:solidFill>
                </w14:textFill>
              </w:rPr>
              <w:t xml:space="preserve"> TAN)</w:t>
            </w:r>
          </w:p>
        </w:tc>
      </w:tr>
      <w:tr w14:paraId="21FB90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844" w:type="pct"/>
            <w:tcBorders>
              <w:top w:val="single" w:color="auto" w:sz="8" w:space="0"/>
            </w:tcBorders>
            <w:vAlign w:val="center"/>
          </w:tcPr>
          <w:p w14:paraId="36886B9B">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Phase I</w:t>
            </w:r>
          </w:p>
        </w:tc>
        <w:tc>
          <w:tcPr>
            <w:tcW w:w="792" w:type="pct"/>
            <w:tcBorders>
              <w:top w:val="single" w:color="auto" w:sz="8" w:space="0"/>
            </w:tcBorders>
            <w:vAlign w:val="center"/>
          </w:tcPr>
          <w:p w14:paraId="2A94EFA1">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42.559</w:t>
            </w:r>
          </w:p>
        </w:tc>
        <w:tc>
          <w:tcPr>
            <w:tcW w:w="957" w:type="pct"/>
            <w:tcBorders>
              <w:top w:val="single" w:color="auto" w:sz="8" w:space="0"/>
            </w:tcBorders>
            <w:vAlign w:val="center"/>
          </w:tcPr>
          <w:p w14:paraId="2EB9B08E">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19.152</w:t>
            </w:r>
          </w:p>
        </w:tc>
        <w:tc>
          <w:tcPr>
            <w:tcW w:w="678" w:type="pct"/>
            <w:tcBorders>
              <w:top w:val="single" w:color="auto" w:sz="8" w:space="0"/>
            </w:tcBorders>
            <w:vAlign w:val="center"/>
          </w:tcPr>
          <w:p w14:paraId="24B712DA">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53.073</w:t>
            </w:r>
          </w:p>
        </w:tc>
        <w:tc>
          <w:tcPr>
            <w:tcW w:w="1730" w:type="pct"/>
            <w:tcBorders>
              <w:top w:val="single" w:color="auto" w:sz="8" w:space="0"/>
            </w:tcBorders>
            <w:vAlign w:val="center"/>
          </w:tcPr>
          <w:p w14:paraId="1E5AF1D1">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2.771</w:t>
            </w:r>
          </w:p>
        </w:tc>
      </w:tr>
      <w:tr w14:paraId="0CAAC02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844" w:type="pct"/>
            <w:vAlign w:val="center"/>
          </w:tcPr>
          <w:p w14:paraId="4ADEAE95">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Phase II</w:t>
            </w:r>
          </w:p>
        </w:tc>
        <w:tc>
          <w:tcPr>
            <w:tcW w:w="792" w:type="pct"/>
            <w:vAlign w:val="center"/>
          </w:tcPr>
          <w:p w14:paraId="5BDC5FB2">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320.379</w:t>
            </w:r>
          </w:p>
        </w:tc>
        <w:tc>
          <w:tcPr>
            <w:tcW w:w="957" w:type="pct"/>
            <w:vAlign w:val="center"/>
          </w:tcPr>
          <w:p w14:paraId="30501A23">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144.17</w:t>
            </w:r>
          </w:p>
        </w:tc>
        <w:tc>
          <w:tcPr>
            <w:tcW w:w="678" w:type="pct"/>
            <w:vAlign w:val="center"/>
          </w:tcPr>
          <w:p w14:paraId="0C078ED4">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 xml:space="preserve">N.A. </w:t>
            </w:r>
            <w:r>
              <w:rPr>
                <w:rFonts w:ascii="Times New Roman" w:hAnsi="Times New Roman" w:eastAsia="等线" w:cs="Times New Roman"/>
                <w:color w:val="000000" w:themeColor="text1"/>
                <w:kern w:val="0"/>
                <w:sz w:val="24"/>
                <w:szCs w:val="24"/>
                <w:vertAlign w:val="superscript"/>
                <w14:textFill>
                  <w14:solidFill>
                    <w14:schemeClr w14:val="tx1"/>
                  </w14:solidFill>
                </w14:textFill>
              </w:rPr>
              <w:t>b</w:t>
            </w:r>
          </w:p>
        </w:tc>
        <w:tc>
          <w:tcPr>
            <w:tcW w:w="1730" w:type="pct"/>
            <w:vAlign w:val="center"/>
          </w:tcPr>
          <w:p w14:paraId="18FF13E4">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N.A.</w:t>
            </w:r>
          </w:p>
        </w:tc>
      </w:tr>
      <w:tr w14:paraId="25BDE23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844" w:type="pct"/>
            <w:vAlign w:val="center"/>
          </w:tcPr>
          <w:p w14:paraId="0D99BBEF">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Phase III</w:t>
            </w:r>
          </w:p>
        </w:tc>
        <w:tc>
          <w:tcPr>
            <w:tcW w:w="792" w:type="pct"/>
            <w:vAlign w:val="center"/>
          </w:tcPr>
          <w:p w14:paraId="5DCB82A9">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44.779</w:t>
            </w:r>
          </w:p>
        </w:tc>
        <w:tc>
          <w:tcPr>
            <w:tcW w:w="957" w:type="pct"/>
            <w:vAlign w:val="center"/>
          </w:tcPr>
          <w:p w14:paraId="63606821">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20.15</w:t>
            </w:r>
          </w:p>
        </w:tc>
        <w:tc>
          <w:tcPr>
            <w:tcW w:w="678" w:type="pct"/>
            <w:vAlign w:val="center"/>
          </w:tcPr>
          <w:p w14:paraId="0487B8EC">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42.338</w:t>
            </w:r>
          </w:p>
        </w:tc>
        <w:tc>
          <w:tcPr>
            <w:tcW w:w="1730" w:type="pct"/>
            <w:vAlign w:val="center"/>
          </w:tcPr>
          <w:p w14:paraId="65CDDDAB">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2.101</w:t>
            </w:r>
          </w:p>
        </w:tc>
      </w:tr>
      <w:tr w14:paraId="1D02EFA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844" w:type="pct"/>
            <w:vAlign w:val="center"/>
          </w:tcPr>
          <w:p w14:paraId="009BD31D">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Phase IV</w:t>
            </w:r>
          </w:p>
        </w:tc>
        <w:tc>
          <w:tcPr>
            <w:tcW w:w="792" w:type="pct"/>
            <w:vAlign w:val="center"/>
          </w:tcPr>
          <w:p w14:paraId="74FEBA6D">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125.597</w:t>
            </w:r>
          </w:p>
        </w:tc>
        <w:tc>
          <w:tcPr>
            <w:tcW w:w="957" w:type="pct"/>
            <w:vAlign w:val="center"/>
          </w:tcPr>
          <w:p w14:paraId="6B42DEF5">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56.519</w:t>
            </w:r>
          </w:p>
        </w:tc>
        <w:tc>
          <w:tcPr>
            <w:tcW w:w="678" w:type="pct"/>
            <w:vAlign w:val="center"/>
          </w:tcPr>
          <w:p w14:paraId="7F705004">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73.938</w:t>
            </w:r>
          </w:p>
        </w:tc>
        <w:tc>
          <w:tcPr>
            <w:tcW w:w="1730" w:type="pct"/>
            <w:vAlign w:val="center"/>
          </w:tcPr>
          <w:p w14:paraId="12BAA2C4">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1.308</w:t>
            </w:r>
          </w:p>
        </w:tc>
      </w:tr>
    </w:tbl>
    <w:p w14:paraId="1E70B6C6">
      <w:pPr>
        <w:spacing w:line="360" w:lineRule="auto"/>
        <w:rPr>
          <w:rFonts w:ascii="Times New Roman" w:hAnsi="Times New Roman" w:cs="Times New Roman"/>
          <w:color w:val="000000" w:themeColor="text1"/>
          <w:sz w:val="24"/>
          <w:szCs w:val="24"/>
          <w:shd w:val="clear" w:color="auto" w:fill="FFFFFF"/>
          <w14:textFill>
            <w14:solidFill>
              <w14:schemeClr w14:val="tx1"/>
            </w14:solidFill>
          </w14:textFill>
        </w:rPr>
      </w:pPr>
      <w:r>
        <w:rPr>
          <w:rFonts w:ascii="Times New Roman" w:hAnsi="Times New Roman" w:cs="Times New Roman"/>
          <w:color w:val="000000" w:themeColor="text1"/>
          <w:sz w:val="24"/>
          <w:szCs w:val="24"/>
          <w:shd w:val="clear" w:color="auto" w:fill="FFFFFF"/>
          <w:vertAlign w:val="superscript"/>
          <w14:textFill>
            <w14:solidFill>
              <w14:schemeClr w14:val="tx1"/>
            </w14:solidFill>
          </w14:textFill>
        </w:rPr>
        <w:t>a</w:t>
      </w:r>
      <w:r>
        <w:rPr>
          <w:rFonts w:ascii="Times New Roman" w:hAnsi="Times New Roman" w:cs="Times New Roman"/>
          <w:color w:val="000000" w:themeColor="text1"/>
          <w:sz w:val="24"/>
          <w:szCs w:val="24"/>
          <w:shd w:val="clear" w:color="auto" w:fill="FFFFFF"/>
          <w14:textFill>
            <w14:solidFill>
              <w14:schemeClr w14:val="tx1"/>
            </w14:solidFill>
          </w14:textFill>
        </w:rPr>
        <w:t xml:space="preserve"> The apparent trade-off coefficient (Θ) was not calculated for Phase II because reliable phase-specific methane production data were unavailable; </w:t>
      </w:r>
      <w:r>
        <w:rPr>
          <w:rFonts w:ascii="Times New Roman" w:hAnsi="Times New Roman" w:cs="Times New Roman"/>
          <w:color w:val="000000" w:themeColor="text1"/>
          <w:sz w:val="24"/>
          <w:szCs w:val="24"/>
          <w:shd w:val="clear" w:color="auto" w:fill="FFFFFF"/>
          <w:vertAlign w:val="superscript"/>
          <w14:textFill>
            <w14:solidFill>
              <w14:schemeClr w14:val="tx1"/>
            </w14:solidFill>
          </w14:textFill>
        </w:rPr>
        <w:t>b</w:t>
      </w:r>
      <w:r>
        <w:rPr>
          <w:rFonts w:ascii="Times New Roman" w:hAnsi="Times New Roman" w:cs="Times New Roman"/>
          <w:color w:val="000000" w:themeColor="text1"/>
          <w:sz w:val="24"/>
          <w:szCs w:val="24"/>
          <w:shd w:val="clear" w:color="auto" w:fill="FFFFFF"/>
          <w14:textFill>
            <w14:solidFill>
              <w14:schemeClr w14:val="tx1"/>
            </w14:solidFill>
          </w14:textFill>
        </w:rPr>
        <w:t xml:space="preserve"> N.A. is not available.</w:t>
      </w:r>
    </w:p>
    <w:p w14:paraId="2DC7CA4E">
      <w:pPr>
        <w:widowControl/>
        <w:jc w:val="left"/>
        <w:rPr>
          <w:rFonts w:ascii="Times New Roman" w:hAnsi="Times New Roman" w:eastAsia="宋体" w:cs="Times New Roman"/>
          <w:b/>
          <w:bCs/>
          <w:sz w:val="24"/>
          <w:szCs w:val="28"/>
        </w:rPr>
      </w:pPr>
      <w:r>
        <w:rPr>
          <w:rFonts w:ascii="Times New Roman" w:hAnsi="Times New Roman" w:eastAsia="宋体" w:cs="Times New Roman"/>
          <w:b/>
          <w:bCs/>
          <w:sz w:val="24"/>
          <w:szCs w:val="28"/>
        </w:rPr>
        <w:br w:type="page"/>
      </w:r>
    </w:p>
    <w:p w14:paraId="1FDC8C8C">
      <w:pPr>
        <w:spacing w:line="360" w:lineRule="auto"/>
        <w:rPr>
          <w:rFonts w:ascii="Times New Roman" w:hAnsi="Times New Roman" w:cs="Times New Roman"/>
          <w:b/>
          <w:bCs/>
          <w:sz w:val="24"/>
          <w:szCs w:val="24"/>
          <w:shd w:val="clear" w:color="auto" w:fill="FFFFFF"/>
        </w:rPr>
      </w:pPr>
      <w:r>
        <w:rPr>
          <w:rFonts w:ascii="Times New Roman" w:hAnsi="Times New Roman" w:cs="Times New Roman"/>
          <w:b/>
          <w:bCs/>
          <w:sz w:val="24"/>
          <w:szCs w:val="24"/>
          <w:shd w:val="clear" w:color="auto" w:fill="FFFFFF"/>
        </w:rPr>
        <w:t>Supplementary Table 2.6 Absolute contents of EPS fractions and chemical components at the end of different operational phases.</w:t>
      </w:r>
    </w:p>
    <w:tbl>
      <w:tblPr>
        <w:tblStyle w:val="9"/>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93"/>
        <w:gridCol w:w="1417"/>
        <w:gridCol w:w="1134"/>
        <w:gridCol w:w="978"/>
        <w:gridCol w:w="1212"/>
        <w:gridCol w:w="1246"/>
        <w:gridCol w:w="1212"/>
        <w:gridCol w:w="1254"/>
      </w:tblGrid>
      <w:tr w14:paraId="4800F17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0" w:hRule="atLeast"/>
        </w:trPr>
        <w:tc>
          <w:tcPr>
            <w:tcW w:w="993" w:type="dxa"/>
            <w:vMerge w:val="restart"/>
            <w:noWrap/>
            <w:vAlign w:val="center"/>
          </w:tcPr>
          <w:p w14:paraId="6B08986B">
            <w:pPr>
              <w:widowControl/>
              <w:spacing w:line="348" w:lineRule="auto"/>
              <w:jc w:val="center"/>
              <w:rPr>
                <w:rFonts w:ascii="Times New Roman" w:hAnsi="Times New Roman" w:cs="Times New Roman"/>
                <w:kern w:val="0"/>
                <w:sz w:val="24"/>
                <w:szCs w:val="24"/>
              </w:rPr>
            </w:pPr>
            <w:r>
              <w:rPr>
                <w:rFonts w:ascii="Times New Roman" w:hAnsi="Times New Roman" w:cs="Times New Roman"/>
                <w:sz w:val="24"/>
                <w:szCs w:val="24"/>
              </w:rPr>
              <w:t>EPS fraction</w:t>
            </w:r>
          </w:p>
        </w:tc>
        <w:tc>
          <w:tcPr>
            <w:tcW w:w="1417" w:type="dxa"/>
            <w:vMerge w:val="restart"/>
            <w:noWrap/>
            <w:vAlign w:val="center"/>
          </w:tcPr>
          <w:p w14:paraId="43CC3E9A">
            <w:pPr>
              <w:widowControl/>
              <w:spacing w:line="348" w:lineRule="auto"/>
              <w:jc w:val="center"/>
              <w:rPr>
                <w:rFonts w:ascii="Times New Roman" w:hAnsi="Times New Roman" w:cs="Times New Roman"/>
                <w:kern w:val="0"/>
                <w:sz w:val="24"/>
                <w:szCs w:val="24"/>
              </w:rPr>
            </w:pPr>
            <w:r>
              <w:rPr>
                <w:rFonts w:ascii="Times New Roman" w:hAnsi="Times New Roman" w:cs="Times New Roman"/>
                <w:sz w:val="24"/>
                <w:szCs w:val="24"/>
              </w:rPr>
              <w:t>Component</w:t>
            </w:r>
          </w:p>
        </w:tc>
        <w:tc>
          <w:tcPr>
            <w:tcW w:w="2112" w:type="dxa"/>
            <w:gridSpan w:val="2"/>
            <w:tcBorders>
              <w:bottom w:val="single" w:color="auto" w:sz="8" w:space="0"/>
            </w:tcBorders>
            <w:noWrap/>
            <w:vAlign w:val="center"/>
          </w:tcPr>
          <w:p w14:paraId="0D8A6BFF">
            <w:pPr>
              <w:widowControl/>
              <w:spacing w:line="348" w:lineRule="auto"/>
              <w:jc w:val="center"/>
              <w:rPr>
                <w:rFonts w:ascii="Times New Roman" w:hAnsi="Times New Roman" w:cs="Times New Roman"/>
                <w:kern w:val="0"/>
                <w:sz w:val="24"/>
                <w:szCs w:val="24"/>
              </w:rPr>
            </w:pPr>
            <w:r>
              <w:rPr>
                <w:rFonts w:ascii="Times New Roman" w:hAnsi="Times New Roman" w:cs="Times New Roman"/>
                <w:sz w:val="24"/>
                <w:szCs w:val="24"/>
              </w:rPr>
              <w:t xml:space="preserve">Phase II </w:t>
            </w:r>
          </w:p>
        </w:tc>
        <w:tc>
          <w:tcPr>
            <w:tcW w:w="2458" w:type="dxa"/>
            <w:gridSpan w:val="2"/>
            <w:tcBorders>
              <w:bottom w:val="single" w:color="auto" w:sz="8" w:space="0"/>
            </w:tcBorders>
            <w:noWrap/>
            <w:vAlign w:val="center"/>
          </w:tcPr>
          <w:p w14:paraId="125DC525">
            <w:pPr>
              <w:widowControl/>
              <w:spacing w:line="348" w:lineRule="auto"/>
              <w:jc w:val="center"/>
              <w:rPr>
                <w:rFonts w:ascii="Times New Roman" w:hAnsi="Times New Roman" w:cs="Times New Roman"/>
                <w:kern w:val="0"/>
                <w:sz w:val="24"/>
                <w:szCs w:val="24"/>
              </w:rPr>
            </w:pPr>
            <w:r>
              <w:rPr>
                <w:rFonts w:ascii="Times New Roman" w:hAnsi="Times New Roman" w:cs="Times New Roman"/>
                <w:sz w:val="24"/>
                <w:szCs w:val="24"/>
              </w:rPr>
              <w:t xml:space="preserve">Phase III </w:t>
            </w:r>
          </w:p>
        </w:tc>
        <w:tc>
          <w:tcPr>
            <w:tcW w:w="2466" w:type="dxa"/>
            <w:gridSpan w:val="2"/>
            <w:tcBorders>
              <w:bottom w:val="single" w:color="auto" w:sz="8" w:space="0"/>
            </w:tcBorders>
            <w:noWrap/>
            <w:vAlign w:val="center"/>
          </w:tcPr>
          <w:p w14:paraId="3260D610">
            <w:pPr>
              <w:widowControl/>
              <w:spacing w:line="348" w:lineRule="auto"/>
              <w:jc w:val="center"/>
              <w:rPr>
                <w:rFonts w:ascii="Times New Roman" w:hAnsi="Times New Roman" w:cs="Times New Roman"/>
                <w:kern w:val="0"/>
                <w:sz w:val="24"/>
                <w:szCs w:val="24"/>
              </w:rPr>
            </w:pPr>
            <w:r>
              <w:rPr>
                <w:rFonts w:ascii="Times New Roman" w:hAnsi="Times New Roman" w:cs="Times New Roman"/>
                <w:sz w:val="24"/>
                <w:szCs w:val="24"/>
              </w:rPr>
              <w:t xml:space="preserve">Phase IV </w:t>
            </w:r>
          </w:p>
        </w:tc>
      </w:tr>
      <w:tr w14:paraId="473ED9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0" w:hRule="atLeast"/>
        </w:trPr>
        <w:tc>
          <w:tcPr>
            <w:tcW w:w="993" w:type="dxa"/>
            <w:vMerge w:val="continue"/>
            <w:tcBorders>
              <w:bottom w:val="single" w:color="auto" w:sz="8" w:space="0"/>
            </w:tcBorders>
            <w:noWrap/>
            <w:vAlign w:val="center"/>
          </w:tcPr>
          <w:p w14:paraId="673B366B">
            <w:pPr>
              <w:widowControl/>
              <w:spacing w:line="348" w:lineRule="auto"/>
              <w:jc w:val="center"/>
              <w:rPr>
                <w:rFonts w:ascii="Times New Roman" w:hAnsi="Times New Roman" w:cs="Times New Roman"/>
                <w:sz w:val="24"/>
                <w:szCs w:val="24"/>
              </w:rPr>
            </w:pPr>
          </w:p>
        </w:tc>
        <w:tc>
          <w:tcPr>
            <w:tcW w:w="1417" w:type="dxa"/>
            <w:vMerge w:val="continue"/>
            <w:tcBorders>
              <w:bottom w:val="single" w:color="auto" w:sz="8" w:space="0"/>
            </w:tcBorders>
            <w:noWrap/>
            <w:vAlign w:val="center"/>
          </w:tcPr>
          <w:p w14:paraId="65A393D1">
            <w:pPr>
              <w:widowControl/>
              <w:spacing w:line="348" w:lineRule="auto"/>
              <w:jc w:val="center"/>
              <w:rPr>
                <w:rFonts w:ascii="Times New Roman" w:hAnsi="Times New Roman" w:cs="Times New Roman"/>
                <w:sz w:val="24"/>
                <w:szCs w:val="24"/>
              </w:rPr>
            </w:pPr>
          </w:p>
        </w:tc>
        <w:tc>
          <w:tcPr>
            <w:tcW w:w="1134" w:type="dxa"/>
            <w:tcBorders>
              <w:bottom w:val="single" w:color="auto" w:sz="8" w:space="0"/>
            </w:tcBorders>
            <w:noWrap/>
            <w:vAlign w:val="center"/>
          </w:tcPr>
          <w:p w14:paraId="4F6A96CF">
            <w:pPr>
              <w:widowControl/>
              <w:spacing w:line="348" w:lineRule="auto"/>
              <w:jc w:val="center"/>
              <w:rPr>
                <w:rFonts w:ascii="Times New Roman" w:hAnsi="Times New Roman" w:cs="Times New Roman"/>
                <w:sz w:val="24"/>
                <w:szCs w:val="24"/>
              </w:rPr>
            </w:pPr>
            <w:r>
              <w:rPr>
                <w:rFonts w:ascii="Times New Roman" w:hAnsi="Times New Roman" w:cs="Times New Roman"/>
                <w:sz w:val="24"/>
                <w:szCs w:val="24"/>
              </w:rPr>
              <w:t>CK</w:t>
            </w:r>
          </w:p>
        </w:tc>
        <w:tc>
          <w:tcPr>
            <w:tcW w:w="978" w:type="dxa"/>
            <w:tcBorders>
              <w:bottom w:val="single" w:color="auto" w:sz="8" w:space="0"/>
            </w:tcBorders>
            <w:noWrap/>
            <w:vAlign w:val="center"/>
          </w:tcPr>
          <w:p w14:paraId="472873E4">
            <w:pPr>
              <w:widowControl/>
              <w:spacing w:line="348" w:lineRule="auto"/>
              <w:jc w:val="center"/>
              <w:rPr>
                <w:rFonts w:ascii="Times New Roman" w:hAnsi="Times New Roman" w:cs="Times New Roman"/>
                <w:sz w:val="24"/>
                <w:szCs w:val="24"/>
              </w:rPr>
            </w:pPr>
            <w:r>
              <w:rPr>
                <w:rFonts w:ascii="Times New Roman" w:hAnsi="Times New Roman" w:cs="Times New Roman"/>
                <w:sz w:val="24"/>
                <w:szCs w:val="24"/>
              </w:rPr>
              <w:t>MG</w:t>
            </w:r>
          </w:p>
        </w:tc>
        <w:tc>
          <w:tcPr>
            <w:tcW w:w="1212" w:type="dxa"/>
            <w:tcBorders>
              <w:bottom w:val="single" w:color="auto" w:sz="8" w:space="0"/>
            </w:tcBorders>
            <w:noWrap/>
            <w:vAlign w:val="center"/>
          </w:tcPr>
          <w:p w14:paraId="75F2D2DB">
            <w:pPr>
              <w:widowControl/>
              <w:spacing w:line="348" w:lineRule="auto"/>
              <w:jc w:val="center"/>
              <w:rPr>
                <w:rFonts w:ascii="Times New Roman" w:hAnsi="Times New Roman" w:cs="Times New Roman"/>
                <w:sz w:val="24"/>
                <w:szCs w:val="24"/>
              </w:rPr>
            </w:pPr>
            <w:r>
              <w:rPr>
                <w:rFonts w:ascii="Times New Roman" w:hAnsi="Times New Roman" w:cs="Times New Roman"/>
                <w:sz w:val="24"/>
                <w:szCs w:val="24"/>
              </w:rPr>
              <w:t>CK</w:t>
            </w:r>
          </w:p>
        </w:tc>
        <w:tc>
          <w:tcPr>
            <w:tcW w:w="1246" w:type="dxa"/>
            <w:tcBorders>
              <w:bottom w:val="single" w:color="auto" w:sz="8" w:space="0"/>
            </w:tcBorders>
            <w:noWrap/>
            <w:vAlign w:val="center"/>
          </w:tcPr>
          <w:p w14:paraId="7F902460">
            <w:pPr>
              <w:widowControl/>
              <w:spacing w:line="348" w:lineRule="auto"/>
              <w:jc w:val="center"/>
              <w:rPr>
                <w:rFonts w:ascii="Times New Roman" w:hAnsi="Times New Roman" w:cs="Times New Roman"/>
                <w:sz w:val="24"/>
                <w:szCs w:val="24"/>
              </w:rPr>
            </w:pPr>
            <w:r>
              <w:rPr>
                <w:rFonts w:ascii="Times New Roman" w:hAnsi="Times New Roman" w:cs="Times New Roman"/>
                <w:sz w:val="24"/>
                <w:szCs w:val="24"/>
              </w:rPr>
              <w:t>MG</w:t>
            </w:r>
          </w:p>
        </w:tc>
        <w:tc>
          <w:tcPr>
            <w:tcW w:w="1212" w:type="dxa"/>
            <w:tcBorders>
              <w:bottom w:val="single" w:color="auto" w:sz="8" w:space="0"/>
            </w:tcBorders>
            <w:noWrap/>
            <w:vAlign w:val="center"/>
          </w:tcPr>
          <w:p w14:paraId="57D06ACA">
            <w:pPr>
              <w:widowControl/>
              <w:spacing w:line="348" w:lineRule="auto"/>
              <w:jc w:val="center"/>
              <w:rPr>
                <w:rFonts w:ascii="Times New Roman" w:hAnsi="Times New Roman" w:cs="Times New Roman"/>
                <w:sz w:val="24"/>
                <w:szCs w:val="24"/>
              </w:rPr>
            </w:pPr>
            <w:r>
              <w:rPr>
                <w:rFonts w:ascii="Times New Roman" w:hAnsi="Times New Roman" w:cs="Times New Roman"/>
                <w:sz w:val="24"/>
                <w:szCs w:val="24"/>
              </w:rPr>
              <w:t>CK</w:t>
            </w:r>
          </w:p>
        </w:tc>
        <w:tc>
          <w:tcPr>
            <w:tcW w:w="1254" w:type="dxa"/>
            <w:tcBorders>
              <w:bottom w:val="single" w:color="auto" w:sz="8" w:space="0"/>
            </w:tcBorders>
            <w:noWrap/>
            <w:vAlign w:val="center"/>
          </w:tcPr>
          <w:p w14:paraId="719DA138">
            <w:pPr>
              <w:widowControl/>
              <w:spacing w:line="348" w:lineRule="auto"/>
              <w:jc w:val="center"/>
              <w:rPr>
                <w:rFonts w:ascii="Times New Roman" w:hAnsi="Times New Roman" w:cs="Times New Roman"/>
                <w:sz w:val="24"/>
                <w:szCs w:val="24"/>
              </w:rPr>
            </w:pPr>
            <w:r>
              <w:rPr>
                <w:rFonts w:ascii="Times New Roman" w:hAnsi="Times New Roman" w:cs="Times New Roman"/>
                <w:sz w:val="24"/>
                <w:szCs w:val="24"/>
              </w:rPr>
              <w:t>MG</w:t>
            </w:r>
          </w:p>
        </w:tc>
      </w:tr>
      <w:tr w14:paraId="3FE551D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0" w:hRule="atLeast"/>
        </w:trPr>
        <w:tc>
          <w:tcPr>
            <w:tcW w:w="993" w:type="dxa"/>
            <w:vMerge w:val="restart"/>
            <w:tcBorders>
              <w:top w:val="single" w:color="auto" w:sz="8" w:space="0"/>
            </w:tcBorders>
            <w:noWrap/>
            <w:vAlign w:val="center"/>
          </w:tcPr>
          <w:p w14:paraId="512637C7">
            <w:pPr>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S-EPS</w:t>
            </w:r>
          </w:p>
        </w:tc>
        <w:tc>
          <w:tcPr>
            <w:tcW w:w="1417" w:type="dxa"/>
            <w:tcBorders>
              <w:top w:val="single" w:color="auto" w:sz="8" w:space="0"/>
            </w:tcBorders>
            <w:noWrap/>
            <w:vAlign w:val="center"/>
          </w:tcPr>
          <w:p w14:paraId="4236A974">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PN</w:t>
            </w:r>
          </w:p>
        </w:tc>
        <w:tc>
          <w:tcPr>
            <w:tcW w:w="1134" w:type="dxa"/>
            <w:tcBorders>
              <w:top w:val="single" w:color="auto" w:sz="8" w:space="0"/>
            </w:tcBorders>
            <w:noWrap/>
            <w:vAlign w:val="center"/>
          </w:tcPr>
          <w:p w14:paraId="460FB104">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 xml:space="preserve">37.33 ± 2.32 </w:t>
            </w:r>
            <w:r>
              <w:rPr>
                <w:rFonts w:ascii="Times New Roman" w:hAnsi="Times New Roman" w:cs="Times New Roman"/>
                <w:kern w:val="0"/>
                <w:sz w:val="24"/>
                <w:szCs w:val="24"/>
                <w:vertAlign w:val="superscript"/>
              </w:rPr>
              <w:t>e</w:t>
            </w:r>
          </w:p>
        </w:tc>
        <w:tc>
          <w:tcPr>
            <w:tcW w:w="978" w:type="dxa"/>
            <w:tcBorders>
              <w:top w:val="single" w:color="auto" w:sz="8" w:space="0"/>
            </w:tcBorders>
            <w:noWrap/>
            <w:vAlign w:val="center"/>
          </w:tcPr>
          <w:p w14:paraId="6306B32E">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 xml:space="preserve">24.42 ± 2.16 </w:t>
            </w:r>
            <w:r>
              <w:rPr>
                <w:rFonts w:ascii="Times New Roman" w:hAnsi="Times New Roman" w:cs="Times New Roman"/>
                <w:kern w:val="0"/>
                <w:sz w:val="24"/>
                <w:szCs w:val="24"/>
                <w:vertAlign w:val="superscript"/>
              </w:rPr>
              <w:t>f</w:t>
            </w:r>
          </w:p>
        </w:tc>
        <w:tc>
          <w:tcPr>
            <w:tcW w:w="1212" w:type="dxa"/>
            <w:tcBorders>
              <w:top w:val="single" w:color="auto" w:sz="8" w:space="0"/>
            </w:tcBorders>
            <w:noWrap/>
            <w:vAlign w:val="center"/>
          </w:tcPr>
          <w:p w14:paraId="1314C58E">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 xml:space="preserve">54.49 ± 2.90 </w:t>
            </w:r>
            <w:r>
              <w:rPr>
                <w:rFonts w:ascii="Times New Roman" w:hAnsi="Times New Roman" w:cs="Times New Roman"/>
                <w:kern w:val="0"/>
                <w:sz w:val="24"/>
                <w:szCs w:val="24"/>
                <w:vertAlign w:val="superscript"/>
              </w:rPr>
              <w:t>d</w:t>
            </w:r>
          </w:p>
        </w:tc>
        <w:tc>
          <w:tcPr>
            <w:tcW w:w="1246" w:type="dxa"/>
            <w:tcBorders>
              <w:top w:val="single" w:color="auto" w:sz="8" w:space="0"/>
            </w:tcBorders>
            <w:noWrap/>
            <w:vAlign w:val="center"/>
          </w:tcPr>
          <w:p w14:paraId="1EEB83E6">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 xml:space="preserve">62.01 ± 3.12 </w:t>
            </w:r>
            <w:r>
              <w:rPr>
                <w:rFonts w:ascii="Times New Roman" w:hAnsi="Times New Roman" w:cs="Times New Roman"/>
                <w:kern w:val="0"/>
                <w:sz w:val="24"/>
                <w:szCs w:val="24"/>
                <w:vertAlign w:val="superscript"/>
              </w:rPr>
              <w:t>c</w:t>
            </w:r>
          </w:p>
        </w:tc>
        <w:tc>
          <w:tcPr>
            <w:tcW w:w="1212" w:type="dxa"/>
            <w:tcBorders>
              <w:top w:val="single" w:color="auto" w:sz="8" w:space="0"/>
            </w:tcBorders>
            <w:noWrap/>
            <w:vAlign w:val="center"/>
          </w:tcPr>
          <w:p w14:paraId="4C2FC195">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 xml:space="preserve">92.09 ± 5.79 </w:t>
            </w:r>
            <w:r>
              <w:rPr>
                <w:rFonts w:ascii="Times New Roman" w:hAnsi="Times New Roman" w:cs="Times New Roman"/>
                <w:kern w:val="0"/>
                <w:sz w:val="24"/>
                <w:szCs w:val="24"/>
                <w:vertAlign w:val="superscript"/>
              </w:rPr>
              <w:t>b</w:t>
            </w:r>
          </w:p>
        </w:tc>
        <w:tc>
          <w:tcPr>
            <w:tcW w:w="1254" w:type="dxa"/>
            <w:tcBorders>
              <w:top w:val="single" w:color="auto" w:sz="8" w:space="0"/>
            </w:tcBorders>
            <w:noWrap/>
            <w:vAlign w:val="center"/>
          </w:tcPr>
          <w:p w14:paraId="5F223F5A">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 xml:space="preserve">114.64 ± 4.44 </w:t>
            </w:r>
            <w:r>
              <w:rPr>
                <w:rFonts w:ascii="Times New Roman" w:hAnsi="Times New Roman" w:cs="Times New Roman"/>
                <w:kern w:val="0"/>
                <w:sz w:val="24"/>
                <w:szCs w:val="24"/>
                <w:vertAlign w:val="superscript"/>
              </w:rPr>
              <w:t>a</w:t>
            </w:r>
          </w:p>
        </w:tc>
      </w:tr>
      <w:tr w14:paraId="7E068E9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0" w:hRule="atLeast"/>
        </w:trPr>
        <w:tc>
          <w:tcPr>
            <w:tcW w:w="993" w:type="dxa"/>
            <w:vMerge w:val="continue"/>
            <w:noWrap/>
            <w:vAlign w:val="center"/>
          </w:tcPr>
          <w:p w14:paraId="5B80648A">
            <w:pPr>
              <w:spacing w:line="348" w:lineRule="auto"/>
              <w:jc w:val="center"/>
              <w:rPr>
                <w:rFonts w:ascii="Times New Roman" w:hAnsi="Times New Roman" w:cs="Times New Roman"/>
                <w:kern w:val="0"/>
                <w:sz w:val="24"/>
                <w:szCs w:val="24"/>
              </w:rPr>
            </w:pPr>
          </w:p>
        </w:tc>
        <w:tc>
          <w:tcPr>
            <w:tcW w:w="1417" w:type="dxa"/>
            <w:noWrap/>
            <w:vAlign w:val="center"/>
          </w:tcPr>
          <w:p w14:paraId="679DE303">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PS</w:t>
            </w:r>
          </w:p>
        </w:tc>
        <w:tc>
          <w:tcPr>
            <w:tcW w:w="1134" w:type="dxa"/>
            <w:noWrap/>
            <w:vAlign w:val="center"/>
          </w:tcPr>
          <w:p w14:paraId="2F1AE4F9">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 xml:space="preserve">3.98 ± 0.12 </w:t>
            </w:r>
            <w:r>
              <w:rPr>
                <w:rFonts w:ascii="Times New Roman" w:hAnsi="Times New Roman" w:cs="Times New Roman"/>
                <w:kern w:val="0"/>
                <w:sz w:val="24"/>
                <w:szCs w:val="24"/>
                <w:vertAlign w:val="superscript"/>
              </w:rPr>
              <w:t>d</w:t>
            </w:r>
          </w:p>
        </w:tc>
        <w:tc>
          <w:tcPr>
            <w:tcW w:w="978" w:type="dxa"/>
            <w:noWrap/>
            <w:vAlign w:val="center"/>
          </w:tcPr>
          <w:p w14:paraId="35CEFA1A">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 xml:space="preserve">37.19 ± 4.79 </w:t>
            </w:r>
            <w:r>
              <w:rPr>
                <w:rFonts w:ascii="Times New Roman" w:hAnsi="Times New Roman" w:cs="Times New Roman"/>
                <w:kern w:val="0"/>
                <w:sz w:val="24"/>
                <w:szCs w:val="24"/>
                <w:vertAlign w:val="superscript"/>
              </w:rPr>
              <w:t>b</w:t>
            </w:r>
          </w:p>
        </w:tc>
        <w:tc>
          <w:tcPr>
            <w:tcW w:w="1212" w:type="dxa"/>
            <w:noWrap/>
            <w:vAlign w:val="center"/>
          </w:tcPr>
          <w:p w14:paraId="605D8286">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 xml:space="preserve">27.08 ± 1.35 </w:t>
            </w:r>
            <w:r>
              <w:rPr>
                <w:rFonts w:ascii="Times New Roman" w:hAnsi="Times New Roman" w:cs="Times New Roman"/>
                <w:kern w:val="0"/>
                <w:sz w:val="24"/>
                <w:szCs w:val="24"/>
                <w:vertAlign w:val="superscript"/>
              </w:rPr>
              <w:t>c</w:t>
            </w:r>
          </w:p>
        </w:tc>
        <w:tc>
          <w:tcPr>
            <w:tcW w:w="1246" w:type="dxa"/>
            <w:noWrap/>
            <w:vAlign w:val="center"/>
          </w:tcPr>
          <w:p w14:paraId="7E6528AA">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 xml:space="preserve">28.46 ± 4.14 </w:t>
            </w:r>
            <w:r>
              <w:rPr>
                <w:rFonts w:ascii="Times New Roman" w:hAnsi="Times New Roman" w:cs="Times New Roman"/>
                <w:kern w:val="0"/>
                <w:sz w:val="24"/>
                <w:szCs w:val="24"/>
                <w:vertAlign w:val="superscript"/>
              </w:rPr>
              <w:t>c</w:t>
            </w:r>
          </w:p>
        </w:tc>
        <w:tc>
          <w:tcPr>
            <w:tcW w:w="1212" w:type="dxa"/>
            <w:noWrap/>
            <w:vAlign w:val="center"/>
          </w:tcPr>
          <w:p w14:paraId="09D607BC">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 xml:space="preserve">26.31 ± 1.12 </w:t>
            </w:r>
            <w:r>
              <w:rPr>
                <w:rFonts w:ascii="Times New Roman" w:hAnsi="Times New Roman" w:cs="Times New Roman"/>
                <w:kern w:val="0"/>
                <w:sz w:val="24"/>
                <w:szCs w:val="24"/>
                <w:vertAlign w:val="superscript"/>
              </w:rPr>
              <w:t>c</w:t>
            </w:r>
          </w:p>
        </w:tc>
        <w:tc>
          <w:tcPr>
            <w:tcW w:w="1254" w:type="dxa"/>
            <w:noWrap/>
            <w:vAlign w:val="center"/>
          </w:tcPr>
          <w:p w14:paraId="72F36214">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 xml:space="preserve">68.62 ± 4.86 </w:t>
            </w:r>
            <w:r>
              <w:rPr>
                <w:rFonts w:ascii="Times New Roman" w:hAnsi="Times New Roman" w:cs="Times New Roman"/>
                <w:kern w:val="0"/>
                <w:sz w:val="24"/>
                <w:szCs w:val="24"/>
                <w:vertAlign w:val="superscript"/>
              </w:rPr>
              <w:t>a</w:t>
            </w:r>
          </w:p>
        </w:tc>
      </w:tr>
      <w:tr w14:paraId="38E92BD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0" w:hRule="atLeast"/>
        </w:trPr>
        <w:tc>
          <w:tcPr>
            <w:tcW w:w="993" w:type="dxa"/>
            <w:vMerge w:val="continue"/>
            <w:noWrap/>
            <w:vAlign w:val="center"/>
          </w:tcPr>
          <w:p w14:paraId="5C99952B">
            <w:pPr>
              <w:spacing w:line="348" w:lineRule="auto"/>
              <w:jc w:val="center"/>
              <w:rPr>
                <w:rFonts w:ascii="Times New Roman" w:hAnsi="Times New Roman" w:cs="Times New Roman"/>
                <w:kern w:val="0"/>
                <w:sz w:val="24"/>
                <w:szCs w:val="24"/>
              </w:rPr>
            </w:pPr>
          </w:p>
        </w:tc>
        <w:tc>
          <w:tcPr>
            <w:tcW w:w="1417" w:type="dxa"/>
            <w:noWrap/>
            <w:vAlign w:val="center"/>
          </w:tcPr>
          <w:p w14:paraId="0AFC69C4">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HU</w:t>
            </w:r>
          </w:p>
        </w:tc>
        <w:tc>
          <w:tcPr>
            <w:tcW w:w="1134" w:type="dxa"/>
            <w:noWrap/>
            <w:vAlign w:val="center"/>
          </w:tcPr>
          <w:p w14:paraId="10724133">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38.49 ± 3.79</w:t>
            </w:r>
            <w:r>
              <w:rPr>
                <w:rFonts w:ascii="Times New Roman" w:hAnsi="Times New Roman" w:cs="Times New Roman"/>
                <w:kern w:val="0"/>
                <w:sz w:val="24"/>
                <w:szCs w:val="24"/>
                <w:vertAlign w:val="superscript"/>
              </w:rPr>
              <w:t xml:space="preserve"> d</w:t>
            </w:r>
          </w:p>
        </w:tc>
        <w:tc>
          <w:tcPr>
            <w:tcW w:w="978" w:type="dxa"/>
            <w:noWrap/>
            <w:vAlign w:val="center"/>
          </w:tcPr>
          <w:p w14:paraId="0A3BEF76">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 xml:space="preserve">102.09 ± 5.92 </w:t>
            </w:r>
            <w:r>
              <w:rPr>
                <w:rFonts w:ascii="Times New Roman" w:hAnsi="Times New Roman" w:cs="Times New Roman"/>
                <w:kern w:val="0"/>
                <w:sz w:val="24"/>
                <w:szCs w:val="24"/>
                <w:vertAlign w:val="superscript"/>
              </w:rPr>
              <w:t>b</w:t>
            </w:r>
          </w:p>
        </w:tc>
        <w:tc>
          <w:tcPr>
            <w:tcW w:w="1212" w:type="dxa"/>
            <w:noWrap/>
            <w:vAlign w:val="center"/>
          </w:tcPr>
          <w:p w14:paraId="385E429B">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97.25 ± 4.78</w:t>
            </w:r>
            <w:r>
              <w:rPr>
                <w:rFonts w:ascii="Times New Roman" w:hAnsi="Times New Roman" w:cs="Times New Roman"/>
                <w:kern w:val="0"/>
                <w:sz w:val="24"/>
                <w:szCs w:val="24"/>
                <w:vertAlign w:val="superscript"/>
              </w:rPr>
              <w:t xml:space="preserve"> b</w:t>
            </w:r>
          </w:p>
        </w:tc>
        <w:tc>
          <w:tcPr>
            <w:tcW w:w="1246" w:type="dxa"/>
            <w:noWrap/>
            <w:vAlign w:val="center"/>
          </w:tcPr>
          <w:p w14:paraId="132E0BC1">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121.47 ± 3.90</w:t>
            </w:r>
            <w:r>
              <w:rPr>
                <w:rFonts w:ascii="Times New Roman" w:hAnsi="Times New Roman" w:cs="Times New Roman"/>
                <w:kern w:val="0"/>
                <w:sz w:val="24"/>
                <w:szCs w:val="24"/>
                <w:vertAlign w:val="superscript"/>
              </w:rPr>
              <w:t xml:space="preserve"> a</w:t>
            </w:r>
          </w:p>
        </w:tc>
        <w:tc>
          <w:tcPr>
            <w:tcW w:w="1212" w:type="dxa"/>
            <w:noWrap/>
            <w:vAlign w:val="center"/>
          </w:tcPr>
          <w:p w14:paraId="68859D9D">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 xml:space="preserve">65.09 ± 2.89 </w:t>
            </w:r>
            <w:r>
              <w:rPr>
                <w:rFonts w:ascii="Times New Roman" w:hAnsi="Times New Roman" w:cs="Times New Roman"/>
                <w:kern w:val="0"/>
                <w:sz w:val="24"/>
                <w:szCs w:val="24"/>
                <w:vertAlign w:val="superscript"/>
              </w:rPr>
              <w:t>c</w:t>
            </w:r>
          </w:p>
        </w:tc>
        <w:tc>
          <w:tcPr>
            <w:tcW w:w="1254" w:type="dxa"/>
            <w:noWrap/>
            <w:vAlign w:val="center"/>
          </w:tcPr>
          <w:p w14:paraId="68FC7A35">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 xml:space="preserve">124.23 ± 4.23 </w:t>
            </w:r>
            <w:r>
              <w:rPr>
                <w:rFonts w:ascii="Times New Roman" w:hAnsi="Times New Roman" w:cs="Times New Roman"/>
                <w:kern w:val="0"/>
                <w:sz w:val="24"/>
                <w:szCs w:val="24"/>
                <w:vertAlign w:val="superscript"/>
              </w:rPr>
              <w:t>a</w:t>
            </w:r>
          </w:p>
        </w:tc>
      </w:tr>
      <w:tr w14:paraId="6364230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0" w:hRule="atLeast"/>
        </w:trPr>
        <w:tc>
          <w:tcPr>
            <w:tcW w:w="993" w:type="dxa"/>
            <w:vMerge w:val="continue"/>
            <w:noWrap/>
            <w:vAlign w:val="center"/>
          </w:tcPr>
          <w:p w14:paraId="644439E9">
            <w:pPr>
              <w:spacing w:line="348" w:lineRule="auto"/>
              <w:jc w:val="center"/>
              <w:rPr>
                <w:rFonts w:ascii="Times New Roman" w:hAnsi="Times New Roman" w:cs="Times New Roman"/>
                <w:kern w:val="0"/>
                <w:sz w:val="24"/>
                <w:szCs w:val="24"/>
              </w:rPr>
            </w:pPr>
          </w:p>
        </w:tc>
        <w:tc>
          <w:tcPr>
            <w:tcW w:w="1417" w:type="dxa"/>
            <w:noWrap/>
            <w:vAlign w:val="center"/>
          </w:tcPr>
          <w:p w14:paraId="286E992E">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DNA</w:t>
            </w:r>
          </w:p>
        </w:tc>
        <w:tc>
          <w:tcPr>
            <w:tcW w:w="1134" w:type="dxa"/>
            <w:noWrap/>
            <w:vAlign w:val="center"/>
          </w:tcPr>
          <w:p w14:paraId="35F74504">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36.63 ± 3.07</w:t>
            </w:r>
            <w:r>
              <w:rPr>
                <w:rFonts w:ascii="Times New Roman" w:hAnsi="Times New Roman" w:cs="Times New Roman"/>
                <w:kern w:val="0"/>
                <w:sz w:val="24"/>
                <w:szCs w:val="24"/>
                <w:vertAlign w:val="superscript"/>
              </w:rPr>
              <w:t xml:space="preserve"> a</w:t>
            </w:r>
          </w:p>
        </w:tc>
        <w:tc>
          <w:tcPr>
            <w:tcW w:w="978" w:type="dxa"/>
            <w:noWrap/>
            <w:vAlign w:val="center"/>
          </w:tcPr>
          <w:p w14:paraId="6A1F72FB">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26.63 ± 4.01</w:t>
            </w:r>
            <w:r>
              <w:rPr>
                <w:rFonts w:ascii="Times New Roman" w:hAnsi="Times New Roman" w:cs="Times New Roman"/>
                <w:kern w:val="0"/>
                <w:sz w:val="24"/>
                <w:szCs w:val="24"/>
                <w:vertAlign w:val="superscript"/>
              </w:rPr>
              <w:t xml:space="preserve"> cd</w:t>
            </w:r>
          </w:p>
        </w:tc>
        <w:tc>
          <w:tcPr>
            <w:tcW w:w="1212" w:type="dxa"/>
            <w:noWrap/>
            <w:vAlign w:val="center"/>
          </w:tcPr>
          <w:p w14:paraId="538B00CB">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30.57 ± 1.57</w:t>
            </w:r>
            <w:r>
              <w:rPr>
                <w:rFonts w:ascii="Times New Roman" w:hAnsi="Times New Roman" w:cs="Times New Roman"/>
                <w:kern w:val="0"/>
                <w:sz w:val="24"/>
                <w:szCs w:val="24"/>
                <w:vertAlign w:val="superscript"/>
              </w:rPr>
              <w:t xml:space="preserve"> bc</w:t>
            </w:r>
          </w:p>
        </w:tc>
        <w:tc>
          <w:tcPr>
            <w:tcW w:w="1246" w:type="dxa"/>
            <w:noWrap/>
            <w:vAlign w:val="center"/>
          </w:tcPr>
          <w:p w14:paraId="16AA3E05">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12.84 ± 1.85</w:t>
            </w:r>
            <w:r>
              <w:rPr>
                <w:rFonts w:ascii="Times New Roman" w:hAnsi="Times New Roman" w:cs="Times New Roman"/>
                <w:kern w:val="0"/>
                <w:sz w:val="24"/>
                <w:szCs w:val="24"/>
                <w:vertAlign w:val="superscript"/>
              </w:rPr>
              <w:t xml:space="preserve"> e</w:t>
            </w:r>
          </w:p>
        </w:tc>
        <w:tc>
          <w:tcPr>
            <w:tcW w:w="1212" w:type="dxa"/>
            <w:noWrap/>
            <w:vAlign w:val="center"/>
          </w:tcPr>
          <w:p w14:paraId="1C1A0A3A">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33.60 ± 4.28</w:t>
            </w:r>
            <w:r>
              <w:rPr>
                <w:rFonts w:ascii="Times New Roman" w:hAnsi="Times New Roman" w:cs="Times New Roman"/>
                <w:kern w:val="0"/>
                <w:sz w:val="24"/>
                <w:szCs w:val="24"/>
                <w:vertAlign w:val="superscript"/>
              </w:rPr>
              <w:t xml:space="preserve"> ab</w:t>
            </w:r>
          </w:p>
        </w:tc>
        <w:tc>
          <w:tcPr>
            <w:tcW w:w="1254" w:type="dxa"/>
            <w:noWrap/>
            <w:vAlign w:val="center"/>
          </w:tcPr>
          <w:p w14:paraId="2E0726B1">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24.50 ± 1.62</w:t>
            </w:r>
            <w:r>
              <w:rPr>
                <w:rFonts w:ascii="Times New Roman" w:hAnsi="Times New Roman" w:cs="Times New Roman"/>
                <w:kern w:val="0"/>
                <w:sz w:val="24"/>
                <w:szCs w:val="24"/>
                <w:vertAlign w:val="superscript"/>
              </w:rPr>
              <w:t xml:space="preserve"> d</w:t>
            </w:r>
          </w:p>
        </w:tc>
      </w:tr>
      <w:tr w14:paraId="1780A64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0" w:hRule="atLeast"/>
        </w:trPr>
        <w:tc>
          <w:tcPr>
            <w:tcW w:w="993" w:type="dxa"/>
            <w:vMerge w:val="restart"/>
            <w:noWrap/>
            <w:vAlign w:val="center"/>
          </w:tcPr>
          <w:p w14:paraId="13A17FE5">
            <w:pPr>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LB-EPS</w:t>
            </w:r>
          </w:p>
        </w:tc>
        <w:tc>
          <w:tcPr>
            <w:tcW w:w="1417" w:type="dxa"/>
            <w:noWrap/>
            <w:vAlign w:val="center"/>
          </w:tcPr>
          <w:p w14:paraId="35B42352">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PN</w:t>
            </w:r>
          </w:p>
        </w:tc>
        <w:tc>
          <w:tcPr>
            <w:tcW w:w="1134" w:type="dxa"/>
            <w:noWrap/>
            <w:vAlign w:val="center"/>
          </w:tcPr>
          <w:p w14:paraId="5ABBE44B">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83.09 ± 1.23</w:t>
            </w:r>
            <w:r>
              <w:rPr>
                <w:rFonts w:ascii="Times New Roman" w:hAnsi="Times New Roman" w:cs="Times New Roman"/>
                <w:kern w:val="0"/>
                <w:sz w:val="24"/>
                <w:szCs w:val="24"/>
                <w:vertAlign w:val="superscript"/>
              </w:rPr>
              <w:t xml:space="preserve"> a</w:t>
            </w:r>
          </w:p>
        </w:tc>
        <w:tc>
          <w:tcPr>
            <w:tcW w:w="978" w:type="dxa"/>
            <w:noWrap/>
            <w:vAlign w:val="center"/>
          </w:tcPr>
          <w:p w14:paraId="7531F379">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44.57 ± 3.25</w:t>
            </w:r>
            <w:r>
              <w:rPr>
                <w:rFonts w:ascii="Times New Roman" w:hAnsi="Times New Roman" w:cs="Times New Roman"/>
                <w:kern w:val="0"/>
                <w:sz w:val="24"/>
                <w:szCs w:val="24"/>
                <w:vertAlign w:val="superscript"/>
              </w:rPr>
              <w:t xml:space="preserve"> b</w:t>
            </w:r>
          </w:p>
        </w:tc>
        <w:tc>
          <w:tcPr>
            <w:tcW w:w="1212" w:type="dxa"/>
            <w:noWrap/>
            <w:vAlign w:val="center"/>
          </w:tcPr>
          <w:p w14:paraId="18566E2F">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31.94 ± 2.05</w:t>
            </w:r>
            <w:r>
              <w:rPr>
                <w:rFonts w:ascii="Times New Roman" w:hAnsi="Times New Roman" w:cs="Times New Roman"/>
                <w:kern w:val="0"/>
                <w:sz w:val="24"/>
                <w:szCs w:val="24"/>
                <w:vertAlign w:val="superscript"/>
              </w:rPr>
              <w:t xml:space="preserve"> c</w:t>
            </w:r>
          </w:p>
        </w:tc>
        <w:tc>
          <w:tcPr>
            <w:tcW w:w="1246" w:type="dxa"/>
            <w:noWrap/>
            <w:vAlign w:val="center"/>
          </w:tcPr>
          <w:p w14:paraId="46CDB30D">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9.38 ± 0.19</w:t>
            </w:r>
            <w:r>
              <w:rPr>
                <w:rFonts w:ascii="Times New Roman" w:hAnsi="Times New Roman" w:cs="Times New Roman"/>
                <w:kern w:val="0"/>
                <w:sz w:val="24"/>
                <w:szCs w:val="24"/>
                <w:vertAlign w:val="superscript"/>
              </w:rPr>
              <w:t xml:space="preserve"> e</w:t>
            </w:r>
          </w:p>
        </w:tc>
        <w:tc>
          <w:tcPr>
            <w:tcW w:w="1212" w:type="dxa"/>
            <w:noWrap/>
            <w:vAlign w:val="center"/>
          </w:tcPr>
          <w:p w14:paraId="5C5AD97B">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33.37 ± 1.57</w:t>
            </w:r>
            <w:r>
              <w:rPr>
                <w:rFonts w:ascii="Times New Roman" w:hAnsi="Times New Roman" w:cs="Times New Roman"/>
                <w:kern w:val="0"/>
                <w:sz w:val="24"/>
                <w:szCs w:val="24"/>
                <w:vertAlign w:val="superscript"/>
              </w:rPr>
              <w:t xml:space="preserve"> c</w:t>
            </w:r>
          </w:p>
        </w:tc>
        <w:tc>
          <w:tcPr>
            <w:tcW w:w="1254" w:type="dxa"/>
            <w:noWrap/>
            <w:vAlign w:val="center"/>
          </w:tcPr>
          <w:p w14:paraId="245622C5">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16.90 ± 2.68</w:t>
            </w:r>
            <w:r>
              <w:rPr>
                <w:rFonts w:ascii="Times New Roman" w:hAnsi="Times New Roman" w:cs="Times New Roman"/>
                <w:kern w:val="0"/>
                <w:sz w:val="24"/>
                <w:szCs w:val="24"/>
                <w:vertAlign w:val="superscript"/>
              </w:rPr>
              <w:t xml:space="preserve"> d</w:t>
            </w:r>
          </w:p>
        </w:tc>
      </w:tr>
      <w:tr w14:paraId="6822C3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0" w:hRule="atLeast"/>
        </w:trPr>
        <w:tc>
          <w:tcPr>
            <w:tcW w:w="993" w:type="dxa"/>
            <w:vMerge w:val="continue"/>
            <w:noWrap/>
            <w:vAlign w:val="center"/>
          </w:tcPr>
          <w:p w14:paraId="3D789D6F">
            <w:pPr>
              <w:spacing w:line="348" w:lineRule="auto"/>
              <w:jc w:val="center"/>
              <w:rPr>
                <w:rFonts w:ascii="Times New Roman" w:hAnsi="Times New Roman" w:cs="Times New Roman"/>
                <w:kern w:val="0"/>
                <w:sz w:val="24"/>
                <w:szCs w:val="24"/>
              </w:rPr>
            </w:pPr>
          </w:p>
        </w:tc>
        <w:tc>
          <w:tcPr>
            <w:tcW w:w="1417" w:type="dxa"/>
            <w:noWrap/>
            <w:vAlign w:val="center"/>
          </w:tcPr>
          <w:p w14:paraId="573C6D69">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PS</w:t>
            </w:r>
          </w:p>
        </w:tc>
        <w:tc>
          <w:tcPr>
            <w:tcW w:w="1134" w:type="dxa"/>
            <w:noWrap/>
            <w:vAlign w:val="center"/>
          </w:tcPr>
          <w:p w14:paraId="443E36ED">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10.20 ± 1.89</w:t>
            </w:r>
            <w:r>
              <w:rPr>
                <w:rFonts w:ascii="Times New Roman" w:hAnsi="Times New Roman" w:cs="Times New Roman"/>
                <w:kern w:val="0"/>
                <w:sz w:val="24"/>
                <w:szCs w:val="24"/>
                <w:vertAlign w:val="superscript"/>
              </w:rPr>
              <w:t xml:space="preserve"> d</w:t>
            </w:r>
          </w:p>
        </w:tc>
        <w:tc>
          <w:tcPr>
            <w:tcW w:w="978" w:type="dxa"/>
            <w:noWrap/>
            <w:vAlign w:val="center"/>
          </w:tcPr>
          <w:p w14:paraId="21CDFD83">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30.63 ± 2.42</w:t>
            </w:r>
            <w:r>
              <w:rPr>
                <w:rFonts w:ascii="Times New Roman" w:hAnsi="Times New Roman" w:cs="Times New Roman"/>
                <w:kern w:val="0"/>
                <w:sz w:val="24"/>
                <w:szCs w:val="24"/>
                <w:vertAlign w:val="superscript"/>
              </w:rPr>
              <w:t xml:space="preserve"> c</w:t>
            </w:r>
          </w:p>
        </w:tc>
        <w:tc>
          <w:tcPr>
            <w:tcW w:w="1212" w:type="dxa"/>
            <w:noWrap/>
            <w:vAlign w:val="center"/>
          </w:tcPr>
          <w:p w14:paraId="76835524">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8.42 ± 1.03</w:t>
            </w:r>
            <w:r>
              <w:rPr>
                <w:rFonts w:ascii="Times New Roman" w:hAnsi="Times New Roman" w:cs="Times New Roman"/>
                <w:kern w:val="0"/>
                <w:sz w:val="24"/>
                <w:szCs w:val="24"/>
                <w:vertAlign w:val="superscript"/>
              </w:rPr>
              <w:t xml:space="preserve"> d</w:t>
            </w:r>
          </w:p>
        </w:tc>
        <w:tc>
          <w:tcPr>
            <w:tcW w:w="1246" w:type="dxa"/>
            <w:noWrap/>
            <w:vAlign w:val="center"/>
          </w:tcPr>
          <w:p w14:paraId="27663C04">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103.09 ± 1.35</w:t>
            </w:r>
            <w:r>
              <w:rPr>
                <w:rFonts w:ascii="Times New Roman" w:hAnsi="Times New Roman" w:cs="Times New Roman"/>
                <w:kern w:val="0"/>
                <w:sz w:val="24"/>
                <w:szCs w:val="24"/>
                <w:vertAlign w:val="superscript"/>
              </w:rPr>
              <w:t xml:space="preserve"> b</w:t>
            </w:r>
          </w:p>
        </w:tc>
        <w:tc>
          <w:tcPr>
            <w:tcW w:w="1212" w:type="dxa"/>
            <w:noWrap/>
            <w:vAlign w:val="center"/>
          </w:tcPr>
          <w:p w14:paraId="18193BB3">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11.98 ± 3.90</w:t>
            </w:r>
            <w:r>
              <w:rPr>
                <w:rFonts w:ascii="Times New Roman" w:hAnsi="Times New Roman" w:cs="Times New Roman"/>
                <w:kern w:val="0"/>
                <w:sz w:val="24"/>
                <w:szCs w:val="24"/>
                <w:vertAlign w:val="superscript"/>
              </w:rPr>
              <w:t xml:space="preserve"> d</w:t>
            </w:r>
          </w:p>
        </w:tc>
        <w:tc>
          <w:tcPr>
            <w:tcW w:w="1254" w:type="dxa"/>
            <w:noWrap/>
            <w:vAlign w:val="center"/>
          </w:tcPr>
          <w:p w14:paraId="1B13F821">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146.16 ± 0.68</w:t>
            </w:r>
            <w:r>
              <w:rPr>
                <w:rFonts w:ascii="Times New Roman" w:hAnsi="Times New Roman" w:cs="Times New Roman"/>
                <w:kern w:val="0"/>
                <w:sz w:val="24"/>
                <w:szCs w:val="24"/>
                <w:vertAlign w:val="superscript"/>
              </w:rPr>
              <w:t xml:space="preserve"> a</w:t>
            </w:r>
          </w:p>
        </w:tc>
      </w:tr>
      <w:tr w14:paraId="41799AF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0" w:hRule="atLeast"/>
        </w:trPr>
        <w:tc>
          <w:tcPr>
            <w:tcW w:w="993" w:type="dxa"/>
            <w:vMerge w:val="continue"/>
            <w:noWrap/>
            <w:vAlign w:val="center"/>
          </w:tcPr>
          <w:p w14:paraId="18A00656">
            <w:pPr>
              <w:spacing w:line="348" w:lineRule="auto"/>
              <w:jc w:val="center"/>
              <w:rPr>
                <w:rFonts w:ascii="Times New Roman" w:hAnsi="Times New Roman" w:cs="Times New Roman"/>
                <w:kern w:val="0"/>
                <w:sz w:val="24"/>
                <w:szCs w:val="24"/>
              </w:rPr>
            </w:pPr>
          </w:p>
        </w:tc>
        <w:tc>
          <w:tcPr>
            <w:tcW w:w="1417" w:type="dxa"/>
            <w:noWrap/>
            <w:vAlign w:val="center"/>
          </w:tcPr>
          <w:p w14:paraId="4E1FC637">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HU</w:t>
            </w:r>
          </w:p>
        </w:tc>
        <w:tc>
          <w:tcPr>
            <w:tcW w:w="1134" w:type="dxa"/>
            <w:noWrap/>
            <w:vAlign w:val="center"/>
          </w:tcPr>
          <w:p w14:paraId="340415EE">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38.18 ± 4.46</w:t>
            </w:r>
            <w:r>
              <w:rPr>
                <w:rFonts w:ascii="Times New Roman" w:hAnsi="Times New Roman" w:cs="Times New Roman"/>
                <w:kern w:val="0"/>
                <w:sz w:val="24"/>
                <w:szCs w:val="24"/>
                <w:vertAlign w:val="superscript"/>
              </w:rPr>
              <w:t xml:space="preserve"> c</w:t>
            </w:r>
          </w:p>
        </w:tc>
        <w:tc>
          <w:tcPr>
            <w:tcW w:w="978" w:type="dxa"/>
            <w:noWrap/>
            <w:vAlign w:val="center"/>
          </w:tcPr>
          <w:p w14:paraId="1BCA1F29">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74.69 ± 3.12</w:t>
            </w:r>
            <w:r>
              <w:rPr>
                <w:rFonts w:ascii="Times New Roman" w:hAnsi="Times New Roman" w:cs="Times New Roman"/>
                <w:kern w:val="0"/>
                <w:sz w:val="24"/>
                <w:szCs w:val="24"/>
                <w:vertAlign w:val="superscript"/>
              </w:rPr>
              <w:t xml:space="preserve"> a</w:t>
            </w:r>
          </w:p>
        </w:tc>
        <w:tc>
          <w:tcPr>
            <w:tcW w:w="1212" w:type="dxa"/>
            <w:noWrap/>
            <w:vAlign w:val="center"/>
          </w:tcPr>
          <w:p w14:paraId="341A1740">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53.64 ± 2.23</w:t>
            </w:r>
            <w:r>
              <w:rPr>
                <w:rFonts w:ascii="Times New Roman" w:hAnsi="Times New Roman" w:cs="Times New Roman"/>
                <w:kern w:val="0"/>
                <w:sz w:val="24"/>
                <w:szCs w:val="24"/>
                <w:vertAlign w:val="superscript"/>
              </w:rPr>
              <w:t xml:space="preserve"> b</w:t>
            </w:r>
          </w:p>
        </w:tc>
        <w:tc>
          <w:tcPr>
            <w:tcW w:w="1246" w:type="dxa"/>
            <w:noWrap/>
            <w:vAlign w:val="center"/>
          </w:tcPr>
          <w:p w14:paraId="67FAC44B">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24.57 ± 3.66</w:t>
            </w:r>
            <w:r>
              <w:rPr>
                <w:rFonts w:ascii="Times New Roman" w:hAnsi="Times New Roman" w:cs="Times New Roman"/>
                <w:kern w:val="0"/>
                <w:sz w:val="24"/>
                <w:szCs w:val="24"/>
                <w:vertAlign w:val="superscript"/>
              </w:rPr>
              <w:t xml:space="preserve"> d</w:t>
            </w:r>
          </w:p>
        </w:tc>
        <w:tc>
          <w:tcPr>
            <w:tcW w:w="1212" w:type="dxa"/>
            <w:noWrap/>
            <w:vAlign w:val="center"/>
          </w:tcPr>
          <w:p w14:paraId="1A496D7B">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58.18 ± 1.68</w:t>
            </w:r>
            <w:r>
              <w:rPr>
                <w:rFonts w:ascii="Times New Roman" w:hAnsi="Times New Roman" w:cs="Times New Roman"/>
                <w:kern w:val="0"/>
                <w:sz w:val="24"/>
                <w:szCs w:val="24"/>
                <w:vertAlign w:val="superscript"/>
              </w:rPr>
              <w:t xml:space="preserve"> b</w:t>
            </w:r>
          </w:p>
        </w:tc>
        <w:tc>
          <w:tcPr>
            <w:tcW w:w="1254" w:type="dxa"/>
            <w:noWrap/>
            <w:vAlign w:val="center"/>
          </w:tcPr>
          <w:p w14:paraId="0DF9C14F">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55.49 ± 2.90</w:t>
            </w:r>
            <w:r>
              <w:rPr>
                <w:rFonts w:ascii="Times New Roman" w:hAnsi="Times New Roman" w:cs="Times New Roman"/>
                <w:kern w:val="0"/>
                <w:sz w:val="24"/>
                <w:szCs w:val="24"/>
                <w:vertAlign w:val="superscript"/>
              </w:rPr>
              <w:t xml:space="preserve"> b</w:t>
            </w:r>
          </w:p>
        </w:tc>
      </w:tr>
      <w:tr w14:paraId="2625132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0" w:hRule="atLeast"/>
        </w:trPr>
        <w:tc>
          <w:tcPr>
            <w:tcW w:w="993" w:type="dxa"/>
            <w:vMerge w:val="continue"/>
            <w:noWrap/>
            <w:vAlign w:val="center"/>
          </w:tcPr>
          <w:p w14:paraId="713AB019">
            <w:pPr>
              <w:spacing w:line="348" w:lineRule="auto"/>
              <w:jc w:val="center"/>
              <w:rPr>
                <w:rFonts w:ascii="Times New Roman" w:hAnsi="Times New Roman" w:cs="Times New Roman"/>
                <w:kern w:val="0"/>
                <w:sz w:val="24"/>
                <w:szCs w:val="24"/>
              </w:rPr>
            </w:pPr>
          </w:p>
        </w:tc>
        <w:tc>
          <w:tcPr>
            <w:tcW w:w="1417" w:type="dxa"/>
            <w:noWrap/>
            <w:vAlign w:val="center"/>
          </w:tcPr>
          <w:p w14:paraId="73829C06">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DNA</w:t>
            </w:r>
          </w:p>
        </w:tc>
        <w:tc>
          <w:tcPr>
            <w:tcW w:w="1134" w:type="dxa"/>
            <w:noWrap/>
            <w:vAlign w:val="center"/>
          </w:tcPr>
          <w:p w14:paraId="74A89693">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12.37 ± 1.89</w:t>
            </w:r>
            <w:r>
              <w:rPr>
                <w:rFonts w:ascii="Times New Roman" w:hAnsi="Times New Roman" w:cs="Times New Roman"/>
                <w:kern w:val="0"/>
                <w:sz w:val="24"/>
                <w:szCs w:val="24"/>
                <w:vertAlign w:val="superscript"/>
              </w:rPr>
              <w:t xml:space="preserve"> d</w:t>
            </w:r>
          </w:p>
        </w:tc>
        <w:tc>
          <w:tcPr>
            <w:tcW w:w="978" w:type="dxa"/>
            <w:noWrap/>
            <w:vAlign w:val="center"/>
          </w:tcPr>
          <w:p w14:paraId="02A5841C">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16.63 ± 2.23</w:t>
            </w:r>
            <w:r>
              <w:rPr>
                <w:rFonts w:ascii="Times New Roman" w:hAnsi="Times New Roman" w:cs="Times New Roman"/>
                <w:kern w:val="0"/>
                <w:sz w:val="24"/>
                <w:szCs w:val="24"/>
                <w:vertAlign w:val="superscript"/>
              </w:rPr>
              <w:t xml:space="preserve"> cd</w:t>
            </w:r>
          </w:p>
        </w:tc>
        <w:tc>
          <w:tcPr>
            <w:tcW w:w="1212" w:type="dxa"/>
            <w:noWrap/>
            <w:vAlign w:val="center"/>
          </w:tcPr>
          <w:p w14:paraId="22C9DFA5">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34.98 ± 3.11</w:t>
            </w:r>
            <w:r>
              <w:rPr>
                <w:rFonts w:ascii="Times New Roman" w:hAnsi="Times New Roman" w:cs="Times New Roman"/>
                <w:kern w:val="0"/>
                <w:sz w:val="24"/>
                <w:szCs w:val="24"/>
                <w:vertAlign w:val="superscript"/>
              </w:rPr>
              <w:t xml:space="preserve"> a</w:t>
            </w:r>
          </w:p>
        </w:tc>
        <w:tc>
          <w:tcPr>
            <w:tcW w:w="1246" w:type="dxa"/>
            <w:noWrap/>
            <w:vAlign w:val="center"/>
          </w:tcPr>
          <w:p w14:paraId="35957CA2">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21.47 ± 1.91</w:t>
            </w:r>
            <w:r>
              <w:rPr>
                <w:rFonts w:ascii="Times New Roman" w:hAnsi="Times New Roman" w:cs="Times New Roman"/>
                <w:kern w:val="0"/>
                <w:sz w:val="24"/>
                <w:szCs w:val="24"/>
                <w:vertAlign w:val="superscript"/>
              </w:rPr>
              <w:t xml:space="preserve"> b</w:t>
            </w:r>
          </w:p>
        </w:tc>
        <w:tc>
          <w:tcPr>
            <w:tcW w:w="1212" w:type="dxa"/>
            <w:noWrap/>
            <w:vAlign w:val="center"/>
          </w:tcPr>
          <w:p w14:paraId="42DB2C77">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18.44 ± 2.33</w:t>
            </w:r>
            <w:r>
              <w:rPr>
                <w:rFonts w:ascii="Times New Roman" w:hAnsi="Times New Roman" w:cs="Times New Roman"/>
                <w:kern w:val="0"/>
                <w:sz w:val="24"/>
                <w:szCs w:val="24"/>
                <w:vertAlign w:val="superscript"/>
              </w:rPr>
              <w:t xml:space="preserve"> bc</w:t>
            </w:r>
          </w:p>
        </w:tc>
        <w:tc>
          <w:tcPr>
            <w:tcW w:w="1254" w:type="dxa"/>
            <w:noWrap/>
            <w:vAlign w:val="center"/>
          </w:tcPr>
          <w:p w14:paraId="6D45B45C">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17.64 ± 2.79</w:t>
            </w:r>
            <w:r>
              <w:rPr>
                <w:rFonts w:ascii="Times New Roman" w:hAnsi="Times New Roman" w:cs="Times New Roman"/>
                <w:kern w:val="0"/>
                <w:sz w:val="24"/>
                <w:szCs w:val="24"/>
                <w:vertAlign w:val="superscript"/>
              </w:rPr>
              <w:t xml:space="preserve"> bc</w:t>
            </w:r>
          </w:p>
        </w:tc>
      </w:tr>
      <w:tr w14:paraId="640AF3E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0" w:hRule="atLeast"/>
        </w:trPr>
        <w:tc>
          <w:tcPr>
            <w:tcW w:w="993" w:type="dxa"/>
            <w:vMerge w:val="restart"/>
            <w:noWrap/>
            <w:vAlign w:val="center"/>
          </w:tcPr>
          <w:p w14:paraId="775D7298">
            <w:pPr>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TB-EPS</w:t>
            </w:r>
          </w:p>
        </w:tc>
        <w:tc>
          <w:tcPr>
            <w:tcW w:w="1417" w:type="dxa"/>
            <w:noWrap/>
            <w:vAlign w:val="center"/>
          </w:tcPr>
          <w:p w14:paraId="57023BD6">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PN</w:t>
            </w:r>
          </w:p>
        </w:tc>
        <w:tc>
          <w:tcPr>
            <w:tcW w:w="1134" w:type="dxa"/>
            <w:noWrap/>
            <w:vAlign w:val="center"/>
          </w:tcPr>
          <w:p w14:paraId="0BBE5C15">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82.24 ± 3.00</w:t>
            </w:r>
            <w:r>
              <w:rPr>
                <w:rFonts w:ascii="Times New Roman" w:hAnsi="Times New Roman" w:cs="Times New Roman"/>
                <w:kern w:val="0"/>
                <w:sz w:val="24"/>
                <w:szCs w:val="24"/>
                <w:vertAlign w:val="superscript"/>
              </w:rPr>
              <w:t xml:space="preserve"> b</w:t>
            </w:r>
          </w:p>
        </w:tc>
        <w:tc>
          <w:tcPr>
            <w:tcW w:w="978" w:type="dxa"/>
            <w:noWrap/>
            <w:vAlign w:val="center"/>
          </w:tcPr>
          <w:p w14:paraId="20DF5537">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109.91 ± 4.79</w:t>
            </w:r>
            <w:r>
              <w:rPr>
                <w:rFonts w:ascii="Times New Roman" w:hAnsi="Times New Roman" w:cs="Times New Roman"/>
                <w:kern w:val="0"/>
                <w:sz w:val="24"/>
                <w:szCs w:val="24"/>
                <w:vertAlign w:val="superscript"/>
              </w:rPr>
              <w:t xml:space="preserve"> a</w:t>
            </w:r>
          </w:p>
        </w:tc>
        <w:tc>
          <w:tcPr>
            <w:tcW w:w="1212" w:type="dxa"/>
            <w:noWrap/>
            <w:vAlign w:val="center"/>
          </w:tcPr>
          <w:p w14:paraId="32D4F2AD">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69.53 ± 1.08</w:t>
            </w:r>
            <w:r>
              <w:rPr>
                <w:rFonts w:ascii="Times New Roman" w:hAnsi="Times New Roman" w:cs="Times New Roman"/>
                <w:kern w:val="0"/>
                <w:sz w:val="24"/>
                <w:szCs w:val="24"/>
                <w:vertAlign w:val="superscript"/>
              </w:rPr>
              <w:t xml:space="preserve"> c</w:t>
            </w:r>
          </w:p>
        </w:tc>
        <w:tc>
          <w:tcPr>
            <w:tcW w:w="1246" w:type="dxa"/>
            <w:noWrap/>
            <w:vAlign w:val="center"/>
          </w:tcPr>
          <w:p w14:paraId="2E6EAC91">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63.61 ± 2.57</w:t>
            </w:r>
            <w:r>
              <w:rPr>
                <w:rFonts w:ascii="Times New Roman" w:hAnsi="Times New Roman" w:cs="Times New Roman"/>
                <w:kern w:val="0"/>
                <w:sz w:val="24"/>
                <w:szCs w:val="24"/>
                <w:vertAlign w:val="superscript"/>
              </w:rPr>
              <w:t xml:space="preserve"> d</w:t>
            </w:r>
          </w:p>
        </w:tc>
        <w:tc>
          <w:tcPr>
            <w:tcW w:w="1212" w:type="dxa"/>
            <w:noWrap/>
            <w:vAlign w:val="center"/>
          </w:tcPr>
          <w:p w14:paraId="66DF08B8">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49.89 ± 3.33</w:t>
            </w:r>
            <w:r>
              <w:rPr>
                <w:rFonts w:ascii="Times New Roman" w:hAnsi="Times New Roman" w:cs="Times New Roman"/>
                <w:kern w:val="0"/>
                <w:sz w:val="24"/>
                <w:szCs w:val="24"/>
                <w:vertAlign w:val="superscript"/>
              </w:rPr>
              <w:t xml:space="preserve"> e</w:t>
            </w:r>
          </w:p>
        </w:tc>
        <w:tc>
          <w:tcPr>
            <w:tcW w:w="1254" w:type="dxa"/>
            <w:noWrap/>
            <w:vAlign w:val="center"/>
          </w:tcPr>
          <w:p w14:paraId="155E7714">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52.13 ± 1.43</w:t>
            </w:r>
            <w:r>
              <w:rPr>
                <w:rFonts w:ascii="Times New Roman" w:hAnsi="Times New Roman" w:cs="Times New Roman"/>
                <w:kern w:val="0"/>
                <w:sz w:val="24"/>
                <w:szCs w:val="24"/>
                <w:vertAlign w:val="superscript"/>
              </w:rPr>
              <w:t xml:space="preserve"> e</w:t>
            </w:r>
          </w:p>
        </w:tc>
      </w:tr>
      <w:tr w14:paraId="54AEB96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0" w:hRule="atLeast"/>
        </w:trPr>
        <w:tc>
          <w:tcPr>
            <w:tcW w:w="993" w:type="dxa"/>
            <w:vMerge w:val="continue"/>
            <w:noWrap/>
            <w:vAlign w:val="center"/>
          </w:tcPr>
          <w:p w14:paraId="133B1918">
            <w:pPr>
              <w:spacing w:line="348" w:lineRule="auto"/>
              <w:jc w:val="center"/>
              <w:rPr>
                <w:rFonts w:ascii="Times New Roman" w:hAnsi="Times New Roman" w:cs="Times New Roman"/>
                <w:kern w:val="0"/>
                <w:sz w:val="24"/>
                <w:szCs w:val="24"/>
              </w:rPr>
            </w:pPr>
          </w:p>
        </w:tc>
        <w:tc>
          <w:tcPr>
            <w:tcW w:w="1417" w:type="dxa"/>
            <w:noWrap/>
            <w:vAlign w:val="center"/>
          </w:tcPr>
          <w:p w14:paraId="5D3E6816">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PS</w:t>
            </w:r>
          </w:p>
        </w:tc>
        <w:tc>
          <w:tcPr>
            <w:tcW w:w="1134" w:type="dxa"/>
            <w:noWrap/>
            <w:vAlign w:val="center"/>
          </w:tcPr>
          <w:p w14:paraId="3E2C00F0">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23.52 ± 3.46</w:t>
            </w:r>
            <w:r>
              <w:rPr>
                <w:rFonts w:ascii="Times New Roman" w:hAnsi="Times New Roman" w:cs="Times New Roman"/>
                <w:kern w:val="0"/>
                <w:sz w:val="24"/>
                <w:szCs w:val="24"/>
                <w:vertAlign w:val="superscript"/>
              </w:rPr>
              <w:t xml:space="preserve"> d</w:t>
            </w:r>
          </w:p>
        </w:tc>
        <w:tc>
          <w:tcPr>
            <w:tcW w:w="978" w:type="dxa"/>
            <w:noWrap/>
            <w:vAlign w:val="center"/>
          </w:tcPr>
          <w:p w14:paraId="392CD513">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47.51 ± 1.14</w:t>
            </w:r>
            <w:r>
              <w:rPr>
                <w:rFonts w:ascii="Times New Roman" w:hAnsi="Times New Roman" w:cs="Times New Roman"/>
                <w:kern w:val="0"/>
                <w:sz w:val="24"/>
                <w:szCs w:val="24"/>
                <w:vertAlign w:val="superscript"/>
              </w:rPr>
              <w:t xml:space="preserve"> c</w:t>
            </w:r>
          </w:p>
        </w:tc>
        <w:tc>
          <w:tcPr>
            <w:tcW w:w="1212" w:type="dxa"/>
            <w:noWrap/>
            <w:vAlign w:val="center"/>
          </w:tcPr>
          <w:p w14:paraId="07F7043C">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19.97 ± 3.08</w:t>
            </w:r>
            <w:r>
              <w:rPr>
                <w:rFonts w:ascii="Times New Roman" w:hAnsi="Times New Roman" w:cs="Times New Roman"/>
                <w:kern w:val="0"/>
                <w:sz w:val="24"/>
                <w:szCs w:val="24"/>
                <w:vertAlign w:val="superscript"/>
              </w:rPr>
              <w:t xml:space="preserve"> d</w:t>
            </w:r>
          </w:p>
        </w:tc>
        <w:tc>
          <w:tcPr>
            <w:tcW w:w="1246" w:type="dxa"/>
            <w:noWrap/>
            <w:vAlign w:val="center"/>
          </w:tcPr>
          <w:p w14:paraId="2A6A2C78">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124.87 ± 0.89</w:t>
            </w:r>
            <w:r>
              <w:rPr>
                <w:rFonts w:ascii="Times New Roman" w:hAnsi="Times New Roman" w:cs="Times New Roman"/>
                <w:kern w:val="0"/>
                <w:sz w:val="24"/>
                <w:szCs w:val="24"/>
                <w:vertAlign w:val="superscript"/>
              </w:rPr>
              <w:t xml:space="preserve"> b</w:t>
            </w:r>
          </w:p>
        </w:tc>
        <w:tc>
          <w:tcPr>
            <w:tcW w:w="1212" w:type="dxa"/>
            <w:noWrap/>
            <w:vAlign w:val="center"/>
          </w:tcPr>
          <w:p w14:paraId="4638B3B0">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43.95 ± 4.35</w:t>
            </w:r>
            <w:r>
              <w:rPr>
                <w:rFonts w:ascii="Times New Roman" w:hAnsi="Times New Roman" w:cs="Times New Roman"/>
                <w:kern w:val="0"/>
                <w:sz w:val="24"/>
                <w:szCs w:val="24"/>
                <w:vertAlign w:val="superscript"/>
              </w:rPr>
              <w:t xml:space="preserve"> c</w:t>
            </w:r>
          </w:p>
        </w:tc>
        <w:tc>
          <w:tcPr>
            <w:tcW w:w="1254" w:type="dxa"/>
            <w:noWrap/>
            <w:vAlign w:val="center"/>
          </w:tcPr>
          <w:p w14:paraId="08523458">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192.34 ± 0.57</w:t>
            </w:r>
            <w:r>
              <w:rPr>
                <w:rFonts w:ascii="Times New Roman" w:hAnsi="Times New Roman" w:cs="Times New Roman"/>
                <w:kern w:val="0"/>
                <w:sz w:val="24"/>
                <w:szCs w:val="24"/>
                <w:vertAlign w:val="superscript"/>
              </w:rPr>
              <w:t xml:space="preserve"> a</w:t>
            </w:r>
          </w:p>
        </w:tc>
      </w:tr>
      <w:tr w14:paraId="25B915E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0" w:hRule="atLeast"/>
        </w:trPr>
        <w:tc>
          <w:tcPr>
            <w:tcW w:w="993" w:type="dxa"/>
            <w:vMerge w:val="continue"/>
            <w:noWrap/>
            <w:vAlign w:val="center"/>
          </w:tcPr>
          <w:p w14:paraId="4E0CAA45">
            <w:pPr>
              <w:spacing w:line="348" w:lineRule="auto"/>
              <w:jc w:val="center"/>
              <w:rPr>
                <w:rFonts w:ascii="Times New Roman" w:hAnsi="Times New Roman" w:cs="Times New Roman"/>
                <w:kern w:val="0"/>
                <w:sz w:val="24"/>
                <w:szCs w:val="24"/>
              </w:rPr>
            </w:pPr>
          </w:p>
        </w:tc>
        <w:tc>
          <w:tcPr>
            <w:tcW w:w="1417" w:type="dxa"/>
            <w:noWrap/>
            <w:vAlign w:val="center"/>
          </w:tcPr>
          <w:p w14:paraId="56ECF5D4">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HU</w:t>
            </w:r>
          </w:p>
        </w:tc>
        <w:tc>
          <w:tcPr>
            <w:tcW w:w="1134" w:type="dxa"/>
            <w:noWrap/>
            <w:vAlign w:val="center"/>
          </w:tcPr>
          <w:p w14:paraId="5B9F9AE8">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66.31 ± 2.35</w:t>
            </w:r>
            <w:r>
              <w:rPr>
                <w:rFonts w:ascii="Times New Roman" w:hAnsi="Times New Roman" w:cs="Times New Roman"/>
                <w:kern w:val="0"/>
                <w:sz w:val="24"/>
                <w:szCs w:val="24"/>
                <w:vertAlign w:val="superscript"/>
              </w:rPr>
              <w:t xml:space="preserve"> c</w:t>
            </w:r>
          </w:p>
        </w:tc>
        <w:tc>
          <w:tcPr>
            <w:tcW w:w="978" w:type="dxa"/>
            <w:noWrap/>
            <w:vAlign w:val="center"/>
          </w:tcPr>
          <w:p w14:paraId="1506AEC5">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129.30 ± 4.89</w:t>
            </w:r>
            <w:r>
              <w:rPr>
                <w:rFonts w:ascii="Times New Roman" w:hAnsi="Times New Roman" w:cs="Times New Roman"/>
                <w:kern w:val="0"/>
                <w:sz w:val="24"/>
                <w:szCs w:val="24"/>
                <w:vertAlign w:val="superscript"/>
              </w:rPr>
              <w:t xml:space="preserve"> a</w:t>
            </w:r>
          </w:p>
        </w:tc>
        <w:tc>
          <w:tcPr>
            <w:tcW w:w="1212" w:type="dxa"/>
            <w:noWrap/>
            <w:vAlign w:val="center"/>
          </w:tcPr>
          <w:p w14:paraId="3C6B720A">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73.02 ± 1.89</w:t>
            </w:r>
            <w:r>
              <w:rPr>
                <w:rFonts w:ascii="Times New Roman" w:hAnsi="Times New Roman" w:cs="Times New Roman"/>
                <w:kern w:val="0"/>
                <w:sz w:val="24"/>
                <w:szCs w:val="24"/>
                <w:vertAlign w:val="superscript"/>
              </w:rPr>
              <w:t xml:space="preserve"> b</w:t>
            </w:r>
          </w:p>
        </w:tc>
        <w:tc>
          <w:tcPr>
            <w:tcW w:w="1246" w:type="dxa"/>
            <w:noWrap/>
            <w:vAlign w:val="center"/>
          </w:tcPr>
          <w:p w14:paraId="0102C580">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48.32 ± 2.16</w:t>
            </w:r>
            <w:r>
              <w:rPr>
                <w:rFonts w:ascii="Times New Roman" w:hAnsi="Times New Roman" w:cs="Times New Roman"/>
                <w:kern w:val="0"/>
                <w:sz w:val="24"/>
                <w:szCs w:val="24"/>
                <w:vertAlign w:val="superscript"/>
              </w:rPr>
              <w:t xml:space="preserve"> d</w:t>
            </w:r>
          </w:p>
        </w:tc>
        <w:tc>
          <w:tcPr>
            <w:tcW w:w="1212" w:type="dxa"/>
            <w:noWrap/>
            <w:vAlign w:val="center"/>
          </w:tcPr>
          <w:p w14:paraId="625F6723">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77.25 ± 3.57</w:t>
            </w:r>
            <w:r>
              <w:rPr>
                <w:rFonts w:ascii="Times New Roman" w:hAnsi="Times New Roman" w:cs="Times New Roman"/>
                <w:kern w:val="0"/>
                <w:sz w:val="24"/>
                <w:szCs w:val="24"/>
                <w:vertAlign w:val="superscript"/>
              </w:rPr>
              <w:t xml:space="preserve"> b</w:t>
            </w:r>
          </w:p>
        </w:tc>
        <w:tc>
          <w:tcPr>
            <w:tcW w:w="1254" w:type="dxa"/>
            <w:noWrap/>
            <w:vAlign w:val="center"/>
          </w:tcPr>
          <w:p w14:paraId="010486EE">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73.18 ± 1.12</w:t>
            </w:r>
            <w:r>
              <w:rPr>
                <w:rFonts w:ascii="Times New Roman" w:hAnsi="Times New Roman" w:cs="Times New Roman"/>
                <w:kern w:val="0"/>
                <w:sz w:val="24"/>
                <w:szCs w:val="24"/>
                <w:vertAlign w:val="superscript"/>
              </w:rPr>
              <w:t xml:space="preserve"> b</w:t>
            </w:r>
          </w:p>
        </w:tc>
      </w:tr>
      <w:tr w14:paraId="0C0D8B1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0" w:hRule="atLeast"/>
        </w:trPr>
        <w:tc>
          <w:tcPr>
            <w:tcW w:w="993" w:type="dxa"/>
            <w:vMerge w:val="continue"/>
            <w:noWrap/>
            <w:vAlign w:val="center"/>
          </w:tcPr>
          <w:p w14:paraId="488A16A9">
            <w:pPr>
              <w:spacing w:line="348" w:lineRule="auto"/>
              <w:jc w:val="center"/>
              <w:rPr>
                <w:rFonts w:ascii="Times New Roman" w:hAnsi="Times New Roman" w:cs="Times New Roman"/>
                <w:kern w:val="0"/>
                <w:sz w:val="24"/>
                <w:szCs w:val="24"/>
              </w:rPr>
            </w:pPr>
          </w:p>
        </w:tc>
        <w:tc>
          <w:tcPr>
            <w:tcW w:w="1417" w:type="dxa"/>
            <w:noWrap/>
            <w:vAlign w:val="center"/>
          </w:tcPr>
          <w:p w14:paraId="74942B45">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DNA</w:t>
            </w:r>
          </w:p>
        </w:tc>
        <w:tc>
          <w:tcPr>
            <w:tcW w:w="1134" w:type="dxa"/>
            <w:noWrap/>
            <w:vAlign w:val="center"/>
          </w:tcPr>
          <w:p w14:paraId="734CDE5D">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27.53 ± 3.78</w:t>
            </w:r>
            <w:r>
              <w:rPr>
                <w:rFonts w:ascii="Times New Roman" w:hAnsi="Times New Roman" w:cs="Times New Roman"/>
                <w:kern w:val="0"/>
                <w:sz w:val="24"/>
                <w:szCs w:val="24"/>
                <w:vertAlign w:val="superscript"/>
              </w:rPr>
              <w:t xml:space="preserve"> b</w:t>
            </w:r>
          </w:p>
        </w:tc>
        <w:tc>
          <w:tcPr>
            <w:tcW w:w="978" w:type="dxa"/>
            <w:noWrap/>
            <w:vAlign w:val="center"/>
          </w:tcPr>
          <w:p w14:paraId="66FB8FFE">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46.95 ± 1.90</w:t>
            </w:r>
            <w:r>
              <w:rPr>
                <w:rFonts w:ascii="Times New Roman" w:hAnsi="Times New Roman" w:cs="Times New Roman"/>
                <w:kern w:val="0"/>
                <w:sz w:val="24"/>
                <w:szCs w:val="24"/>
                <w:vertAlign w:val="superscript"/>
              </w:rPr>
              <w:t xml:space="preserve"> a</w:t>
            </w:r>
          </w:p>
        </w:tc>
        <w:tc>
          <w:tcPr>
            <w:tcW w:w="1212" w:type="dxa"/>
            <w:noWrap/>
            <w:vAlign w:val="center"/>
          </w:tcPr>
          <w:p w14:paraId="5BCFE700">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6.31 ± 0.79</w:t>
            </w:r>
            <w:r>
              <w:rPr>
                <w:rFonts w:ascii="Times New Roman" w:hAnsi="Times New Roman" w:cs="Times New Roman"/>
                <w:kern w:val="0"/>
                <w:sz w:val="24"/>
                <w:szCs w:val="24"/>
                <w:vertAlign w:val="superscript"/>
              </w:rPr>
              <w:t xml:space="preserve"> d</w:t>
            </w:r>
          </w:p>
        </w:tc>
        <w:tc>
          <w:tcPr>
            <w:tcW w:w="1246" w:type="dxa"/>
            <w:noWrap/>
            <w:vAlign w:val="center"/>
          </w:tcPr>
          <w:p w14:paraId="51DDE223">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 xml:space="preserve">0.24 ± 0.01 </w:t>
            </w:r>
            <w:r>
              <w:rPr>
                <w:rFonts w:ascii="Times New Roman" w:hAnsi="Times New Roman" w:cs="Times New Roman"/>
                <w:kern w:val="0"/>
                <w:sz w:val="24"/>
                <w:szCs w:val="24"/>
                <w:vertAlign w:val="superscript"/>
              </w:rPr>
              <w:t>e</w:t>
            </w:r>
          </w:p>
        </w:tc>
        <w:tc>
          <w:tcPr>
            <w:tcW w:w="1212" w:type="dxa"/>
            <w:noWrap/>
            <w:vAlign w:val="center"/>
          </w:tcPr>
          <w:p w14:paraId="48392B36">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15.41 ± 3.68</w:t>
            </w:r>
            <w:r>
              <w:rPr>
                <w:rFonts w:ascii="Times New Roman" w:hAnsi="Times New Roman" w:cs="Times New Roman"/>
                <w:kern w:val="0"/>
                <w:sz w:val="24"/>
                <w:szCs w:val="24"/>
                <w:vertAlign w:val="superscript"/>
              </w:rPr>
              <w:t xml:space="preserve"> c</w:t>
            </w:r>
          </w:p>
        </w:tc>
        <w:tc>
          <w:tcPr>
            <w:tcW w:w="1254" w:type="dxa"/>
            <w:noWrap/>
            <w:vAlign w:val="center"/>
          </w:tcPr>
          <w:p w14:paraId="543B8FEE">
            <w:pPr>
              <w:widowControl/>
              <w:spacing w:line="348" w:lineRule="auto"/>
              <w:jc w:val="center"/>
              <w:rPr>
                <w:rFonts w:ascii="Times New Roman" w:hAnsi="Times New Roman" w:cs="Times New Roman"/>
                <w:kern w:val="0"/>
                <w:sz w:val="24"/>
                <w:szCs w:val="24"/>
              </w:rPr>
            </w:pPr>
            <w:r>
              <w:rPr>
                <w:rFonts w:ascii="Times New Roman" w:hAnsi="Times New Roman" w:cs="Times New Roman"/>
                <w:kern w:val="0"/>
                <w:sz w:val="24"/>
                <w:szCs w:val="24"/>
              </w:rPr>
              <w:t>9.34 ± 2.16</w:t>
            </w:r>
            <w:r>
              <w:rPr>
                <w:rFonts w:ascii="Times New Roman" w:hAnsi="Times New Roman" w:cs="Times New Roman"/>
                <w:kern w:val="0"/>
                <w:sz w:val="24"/>
                <w:szCs w:val="24"/>
                <w:vertAlign w:val="superscript"/>
              </w:rPr>
              <w:t xml:space="preserve"> d</w:t>
            </w:r>
          </w:p>
        </w:tc>
      </w:tr>
    </w:tbl>
    <w:p w14:paraId="054F7E67">
      <w:pPr>
        <w:spacing w:line="360" w:lineRule="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Values are expressed as mean ± SD (</w:t>
      </w:r>
      <w:r>
        <w:rPr>
          <w:rFonts w:ascii="Times New Roman" w:hAnsi="Times New Roman" w:cs="Times New Roman"/>
          <w:i/>
          <w:iCs/>
          <w:sz w:val="24"/>
          <w:szCs w:val="24"/>
          <w:shd w:val="clear" w:color="auto" w:fill="FFFFFF"/>
        </w:rPr>
        <w:t>n</w:t>
      </w:r>
      <w:r>
        <w:rPr>
          <w:rFonts w:ascii="Times New Roman" w:hAnsi="Times New Roman" w:cs="Times New Roman"/>
          <w:sz w:val="24"/>
          <w:szCs w:val="24"/>
          <w:shd w:val="clear" w:color="auto" w:fill="FFFFFF"/>
        </w:rPr>
        <w:t xml:space="preserve"> = 3). Different lowercase letters within the same row indicate significant differences among Phase × Group combinations according to Duncan’s multiple range test (</w:t>
      </w:r>
      <w:r>
        <w:rPr>
          <w:rFonts w:ascii="Times New Roman" w:hAnsi="Times New Roman" w:cs="Times New Roman"/>
          <w:i/>
          <w:iCs/>
          <w:sz w:val="24"/>
          <w:szCs w:val="24"/>
          <w:shd w:val="clear" w:color="auto" w:fill="FFFFFF"/>
        </w:rPr>
        <w:t>p</w:t>
      </w:r>
      <w:r>
        <w:rPr>
          <w:rFonts w:ascii="Times New Roman" w:hAnsi="Times New Roman" w:cs="Times New Roman"/>
          <w:sz w:val="24"/>
          <w:szCs w:val="24"/>
          <w:shd w:val="clear" w:color="auto" w:fill="FFFFFF"/>
        </w:rPr>
        <w:t xml:space="preserve"> &lt; 0.05).</w:t>
      </w:r>
      <w:r>
        <w:rPr>
          <w:rFonts w:ascii="Times New Roman" w:hAnsi="Times New Roman" w:eastAsia="宋体" w:cs="Times New Roman"/>
          <w:b/>
          <w:bCs/>
          <w:sz w:val="24"/>
          <w:szCs w:val="28"/>
        </w:rPr>
        <w:br w:type="page"/>
      </w:r>
    </w:p>
    <w:p w14:paraId="329C7E9B">
      <w:pPr>
        <w:widowControl/>
        <w:spacing w:line="480" w:lineRule="auto"/>
        <w:jc w:val="left"/>
        <w:rPr>
          <w:rFonts w:ascii="Times New Roman" w:hAnsi="Times New Roman" w:eastAsia="宋体" w:cs="Times New Roman"/>
          <w:b/>
          <w:bCs/>
          <w:sz w:val="24"/>
          <w:szCs w:val="28"/>
        </w:rPr>
      </w:pPr>
      <w:r>
        <w:rPr>
          <w:rFonts w:ascii="Times New Roman" w:hAnsi="Times New Roman" w:eastAsia="宋体" w:cs="Times New Roman"/>
          <w:b/>
          <w:bCs/>
          <w:sz w:val="24"/>
          <w:szCs w:val="28"/>
        </w:rPr>
        <w:t>Supplementary Table 2.7 Hydrolytic and acidogenic functions encoded by the micro-oxygen-enriched MAGs.</w:t>
      </w:r>
    </w:p>
    <w:tbl>
      <w:tblPr>
        <w:tblStyle w:val="9"/>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1"/>
        <w:gridCol w:w="1980"/>
        <w:gridCol w:w="3407"/>
        <w:gridCol w:w="2540"/>
      </w:tblGrid>
      <w:tr w14:paraId="2BC3988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1" w:type="dxa"/>
            <w:tcBorders>
              <w:top w:val="single" w:color="auto" w:sz="12" w:space="0"/>
              <w:bottom w:val="single" w:color="auto" w:sz="8" w:space="0"/>
            </w:tcBorders>
            <w:vAlign w:val="center"/>
          </w:tcPr>
          <w:p w14:paraId="38B1CB16">
            <w:pPr>
              <w:widowControl/>
              <w:spacing w:line="360" w:lineRule="auto"/>
              <w:jc w:val="center"/>
              <w:rPr>
                <w:rFonts w:ascii="Times New Roman" w:hAnsi="Times New Roman" w:eastAsia="宋体" w:cs="Times New Roman"/>
                <w:sz w:val="24"/>
                <w:szCs w:val="28"/>
              </w:rPr>
            </w:pPr>
            <w:r>
              <w:rPr>
                <w:rFonts w:ascii="Times New Roman" w:hAnsi="Times New Roman" w:eastAsia="宋体" w:cs="Times New Roman"/>
                <w:sz w:val="24"/>
                <w:szCs w:val="28"/>
              </w:rPr>
              <w:t>Function</w:t>
            </w:r>
          </w:p>
        </w:tc>
        <w:tc>
          <w:tcPr>
            <w:tcW w:w="1980" w:type="dxa"/>
            <w:tcBorders>
              <w:top w:val="single" w:color="auto" w:sz="12" w:space="0"/>
              <w:bottom w:val="single" w:color="auto" w:sz="8" w:space="0"/>
            </w:tcBorders>
            <w:vAlign w:val="center"/>
          </w:tcPr>
          <w:p w14:paraId="17C8EF79">
            <w:pPr>
              <w:widowControl/>
              <w:spacing w:line="360" w:lineRule="auto"/>
              <w:jc w:val="center"/>
              <w:rPr>
                <w:rFonts w:ascii="Times New Roman" w:hAnsi="Times New Roman" w:eastAsia="宋体" w:cs="Times New Roman"/>
                <w:sz w:val="24"/>
                <w:szCs w:val="28"/>
              </w:rPr>
            </w:pPr>
            <w:r>
              <w:rPr>
                <w:rFonts w:ascii="Times New Roman" w:hAnsi="Times New Roman" w:eastAsia="宋体" w:cs="Times New Roman"/>
                <w:sz w:val="24"/>
                <w:szCs w:val="28"/>
              </w:rPr>
              <w:t>KEGG orthology/Module</w:t>
            </w:r>
          </w:p>
        </w:tc>
        <w:tc>
          <w:tcPr>
            <w:tcW w:w="3407" w:type="dxa"/>
            <w:tcBorders>
              <w:top w:val="single" w:color="auto" w:sz="12" w:space="0"/>
              <w:bottom w:val="single" w:color="auto" w:sz="8" w:space="0"/>
            </w:tcBorders>
            <w:vAlign w:val="center"/>
          </w:tcPr>
          <w:p w14:paraId="1297BEB1">
            <w:pPr>
              <w:widowControl/>
              <w:spacing w:line="360" w:lineRule="auto"/>
              <w:jc w:val="center"/>
              <w:rPr>
                <w:rFonts w:ascii="Times New Roman" w:hAnsi="Times New Roman" w:eastAsia="宋体" w:cs="Times New Roman"/>
                <w:sz w:val="24"/>
                <w:szCs w:val="28"/>
              </w:rPr>
            </w:pPr>
            <w:r>
              <w:rPr>
                <w:rFonts w:ascii="Times New Roman" w:hAnsi="Times New Roman" w:eastAsia="宋体" w:cs="Times New Roman"/>
                <w:sz w:val="24"/>
                <w:szCs w:val="28"/>
              </w:rPr>
              <w:t>Protein (Enzyme) nomenclature</w:t>
            </w:r>
          </w:p>
        </w:tc>
        <w:tc>
          <w:tcPr>
            <w:tcW w:w="2540" w:type="dxa"/>
            <w:tcBorders>
              <w:top w:val="single" w:color="auto" w:sz="12" w:space="0"/>
              <w:bottom w:val="single" w:color="auto" w:sz="8" w:space="0"/>
            </w:tcBorders>
            <w:vAlign w:val="center"/>
          </w:tcPr>
          <w:p w14:paraId="627B3596">
            <w:pPr>
              <w:widowControl/>
              <w:spacing w:line="360" w:lineRule="auto"/>
              <w:jc w:val="center"/>
              <w:rPr>
                <w:rFonts w:ascii="Times New Roman" w:hAnsi="Times New Roman" w:eastAsia="宋体" w:cs="Times New Roman"/>
                <w:sz w:val="24"/>
                <w:szCs w:val="28"/>
              </w:rPr>
            </w:pPr>
            <w:r>
              <w:rPr>
                <w:rFonts w:ascii="Times New Roman" w:hAnsi="Times New Roman" w:eastAsia="宋体" w:cs="Times New Roman"/>
                <w:sz w:val="24"/>
                <w:szCs w:val="28"/>
              </w:rPr>
              <w:t>Corresponding MAGs</w:t>
            </w:r>
          </w:p>
        </w:tc>
      </w:tr>
      <w:tr w14:paraId="410ADD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1" w:type="dxa"/>
            <w:tcBorders>
              <w:top w:val="single" w:color="auto" w:sz="8" w:space="0"/>
            </w:tcBorders>
            <w:vAlign w:val="center"/>
          </w:tcPr>
          <w:p w14:paraId="09C049FE">
            <w:pPr>
              <w:widowControl/>
              <w:spacing w:line="360" w:lineRule="auto"/>
              <w:jc w:val="center"/>
              <w:rPr>
                <w:rFonts w:ascii="Times New Roman" w:hAnsi="Times New Roman" w:eastAsia="宋体" w:cs="Times New Roman"/>
                <w:sz w:val="24"/>
                <w:szCs w:val="28"/>
              </w:rPr>
            </w:pPr>
            <w:r>
              <w:rPr>
                <w:rFonts w:ascii="Times New Roman" w:hAnsi="Times New Roman" w:eastAsia="宋体" w:cs="Times New Roman"/>
                <w:sz w:val="24"/>
                <w:szCs w:val="28"/>
              </w:rPr>
              <w:t>Protein hydrolysis</w:t>
            </w:r>
          </w:p>
        </w:tc>
        <w:tc>
          <w:tcPr>
            <w:tcW w:w="1980" w:type="dxa"/>
            <w:tcBorders>
              <w:top w:val="single" w:color="auto" w:sz="8" w:space="0"/>
            </w:tcBorders>
            <w:vAlign w:val="center"/>
          </w:tcPr>
          <w:p w14:paraId="30E356E9">
            <w:pPr>
              <w:widowControl/>
              <w:spacing w:line="360" w:lineRule="auto"/>
              <w:jc w:val="center"/>
              <w:rPr>
                <w:rFonts w:ascii="Times New Roman" w:hAnsi="Times New Roman" w:eastAsia="宋体" w:cs="Times New Roman"/>
                <w:sz w:val="24"/>
                <w:szCs w:val="28"/>
              </w:rPr>
            </w:pPr>
            <w:r>
              <w:rPr>
                <w:rFonts w:ascii="Times New Roman" w:hAnsi="Times New Roman" w:eastAsia="宋体" w:cs="Times New Roman"/>
                <w:sz w:val="24"/>
                <w:szCs w:val="28"/>
              </w:rPr>
              <w:t>K01255; K01256; K04771</w:t>
            </w:r>
          </w:p>
        </w:tc>
        <w:tc>
          <w:tcPr>
            <w:tcW w:w="3407" w:type="dxa"/>
            <w:tcBorders>
              <w:top w:val="single" w:color="auto" w:sz="8" w:space="0"/>
            </w:tcBorders>
            <w:vAlign w:val="center"/>
          </w:tcPr>
          <w:p w14:paraId="1C8A06FB">
            <w:pPr>
              <w:widowControl/>
              <w:spacing w:line="360" w:lineRule="auto"/>
              <w:jc w:val="center"/>
              <w:rPr>
                <w:rFonts w:ascii="Times New Roman" w:hAnsi="Times New Roman" w:eastAsia="宋体" w:cs="Times New Roman"/>
                <w:sz w:val="24"/>
                <w:szCs w:val="28"/>
              </w:rPr>
            </w:pPr>
            <w:r>
              <w:rPr>
                <w:rFonts w:ascii="Times New Roman" w:hAnsi="Times New Roman" w:eastAsia="宋体" w:cs="Times New Roman"/>
                <w:sz w:val="24"/>
                <w:szCs w:val="28"/>
              </w:rPr>
              <w:t>Leucyl aminopeptidase; aminopeptidase N; DegP/HtrA serine endopeptidase</w:t>
            </w:r>
          </w:p>
        </w:tc>
        <w:tc>
          <w:tcPr>
            <w:tcW w:w="2540" w:type="dxa"/>
            <w:tcBorders>
              <w:top w:val="single" w:color="auto" w:sz="8" w:space="0"/>
            </w:tcBorders>
            <w:vAlign w:val="center"/>
          </w:tcPr>
          <w:p w14:paraId="763A98F5">
            <w:pPr>
              <w:widowControl/>
              <w:spacing w:line="360" w:lineRule="auto"/>
              <w:jc w:val="center"/>
              <w:rPr>
                <w:rFonts w:ascii="Times New Roman" w:hAnsi="Times New Roman" w:eastAsia="宋体" w:cs="Times New Roman"/>
                <w:sz w:val="24"/>
                <w:szCs w:val="28"/>
              </w:rPr>
            </w:pPr>
            <w:r>
              <w:rPr>
                <w:rFonts w:ascii="Times New Roman" w:hAnsi="Times New Roman" w:eastAsia="宋体" w:cs="Times New Roman"/>
                <w:sz w:val="24"/>
                <w:szCs w:val="28"/>
              </w:rPr>
              <w:t>MAG458, MAG478, MAG534</w:t>
            </w:r>
          </w:p>
        </w:tc>
      </w:tr>
      <w:tr w14:paraId="0054045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1" w:type="dxa"/>
            <w:vAlign w:val="center"/>
          </w:tcPr>
          <w:p w14:paraId="58E6F443">
            <w:pPr>
              <w:widowControl/>
              <w:spacing w:line="360" w:lineRule="auto"/>
              <w:jc w:val="center"/>
              <w:rPr>
                <w:rFonts w:ascii="Times New Roman" w:hAnsi="Times New Roman" w:eastAsia="宋体" w:cs="Times New Roman"/>
                <w:sz w:val="24"/>
                <w:szCs w:val="28"/>
              </w:rPr>
            </w:pPr>
            <w:r>
              <w:rPr>
                <w:rFonts w:ascii="Times New Roman" w:hAnsi="Times New Roman" w:eastAsia="宋体" w:cs="Times New Roman"/>
                <w:sz w:val="24"/>
                <w:szCs w:val="28"/>
              </w:rPr>
              <w:t>Lipid hydrolysis and entry into central metabolism</w:t>
            </w:r>
          </w:p>
        </w:tc>
        <w:tc>
          <w:tcPr>
            <w:tcW w:w="1980" w:type="dxa"/>
            <w:vAlign w:val="center"/>
          </w:tcPr>
          <w:p w14:paraId="2F3593F2">
            <w:pPr>
              <w:widowControl/>
              <w:spacing w:line="360" w:lineRule="auto"/>
              <w:jc w:val="center"/>
              <w:rPr>
                <w:rFonts w:ascii="Times New Roman" w:hAnsi="Times New Roman" w:eastAsia="宋体" w:cs="Times New Roman"/>
                <w:sz w:val="24"/>
                <w:szCs w:val="28"/>
              </w:rPr>
            </w:pPr>
            <w:r>
              <w:rPr>
                <w:rFonts w:ascii="Times New Roman" w:hAnsi="Times New Roman" w:eastAsia="宋体" w:cs="Times New Roman"/>
                <w:sz w:val="24"/>
                <w:szCs w:val="28"/>
              </w:rPr>
              <w:t>K00005; K00057; K00632; K01692; K01897</w:t>
            </w:r>
          </w:p>
        </w:tc>
        <w:tc>
          <w:tcPr>
            <w:tcW w:w="3407" w:type="dxa"/>
            <w:vAlign w:val="center"/>
          </w:tcPr>
          <w:p w14:paraId="35796A14">
            <w:pPr>
              <w:widowControl/>
              <w:spacing w:line="360" w:lineRule="auto"/>
              <w:jc w:val="center"/>
              <w:rPr>
                <w:rFonts w:ascii="Times New Roman" w:hAnsi="Times New Roman" w:eastAsia="宋体" w:cs="Times New Roman"/>
                <w:sz w:val="24"/>
                <w:szCs w:val="28"/>
              </w:rPr>
            </w:pPr>
            <w:r>
              <w:rPr>
                <w:rFonts w:ascii="Times New Roman" w:hAnsi="Times New Roman" w:eastAsia="宋体" w:cs="Times New Roman"/>
                <w:sz w:val="24"/>
                <w:szCs w:val="28"/>
              </w:rPr>
              <w:t>Glycerol dehydrogenase; glycerol-3-phosphate dehydrogenase; acetyl-CoA acyltransferase; enoyl-CoA hydratase; long-chain-fatty-acid-CoA ligase</w:t>
            </w:r>
          </w:p>
        </w:tc>
        <w:tc>
          <w:tcPr>
            <w:tcW w:w="2540" w:type="dxa"/>
            <w:vAlign w:val="center"/>
          </w:tcPr>
          <w:p w14:paraId="0DE75FD4">
            <w:pPr>
              <w:widowControl/>
              <w:spacing w:line="360" w:lineRule="auto"/>
              <w:jc w:val="center"/>
              <w:rPr>
                <w:rFonts w:ascii="Times New Roman" w:hAnsi="Times New Roman" w:eastAsia="宋体" w:cs="Times New Roman"/>
                <w:sz w:val="24"/>
                <w:szCs w:val="28"/>
              </w:rPr>
            </w:pPr>
            <w:r>
              <w:rPr>
                <w:rFonts w:ascii="Times New Roman" w:hAnsi="Times New Roman" w:eastAsia="宋体" w:cs="Times New Roman"/>
                <w:sz w:val="24"/>
                <w:szCs w:val="28"/>
              </w:rPr>
              <w:t>MAG208, MAG458, MAG478, MAG534</w:t>
            </w:r>
          </w:p>
        </w:tc>
      </w:tr>
      <w:tr w14:paraId="5962929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1" w:type="dxa"/>
            <w:vAlign w:val="center"/>
          </w:tcPr>
          <w:p w14:paraId="32371330">
            <w:pPr>
              <w:widowControl/>
              <w:spacing w:line="360" w:lineRule="auto"/>
              <w:jc w:val="center"/>
              <w:rPr>
                <w:rFonts w:ascii="Times New Roman" w:hAnsi="Times New Roman" w:eastAsia="宋体" w:cs="Times New Roman"/>
                <w:sz w:val="24"/>
                <w:szCs w:val="28"/>
              </w:rPr>
            </w:pPr>
            <w:r>
              <w:rPr>
                <w:rFonts w:ascii="Times New Roman" w:hAnsi="Times New Roman" w:eastAsia="宋体" w:cs="Times New Roman"/>
                <w:sz w:val="24"/>
                <w:szCs w:val="28"/>
              </w:rPr>
              <w:t>Shared acidogenic backbone</w:t>
            </w:r>
          </w:p>
        </w:tc>
        <w:tc>
          <w:tcPr>
            <w:tcW w:w="1980" w:type="dxa"/>
            <w:vAlign w:val="center"/>
          </w:tcPr>
          <w:p w14:paraId="05E7D7E8">
            <w:pPr>
              <w:widowControl/>
              <w:spacing w:line="360" w:lineRule="auto"/>
              <w:jc w:val="center"/>
              <w:rPr>
                <w:rFonts w:ascii="Times New Roman" w:hAnsi="Times New Roman" w:eastAsia="宋体" w:cs="Times New Roman"/>
                <w:sz w:val="24"/>
                <w:szCs w:val="28"/>
              </w:rPr>
            </w:pPr>
            <w:r>
              <w:rPr>
                <w:rFonts w:ascii="Times New Roman" w:hAnsi="Times New Roman" w:eastAsia="宋体" w:cs="Times New Roman"/>
                <w:sz w:val="24"/>
                <w:szCs w:val="28"/>
              </w:rPr>
              <w:t>M00001; M00307</w:t>
            </w:r>
          </w:p>
        </w:tc>
        <w:tc>
          <w:tcPr>
            <w:tcW w:w="3407" w:type="dxa"/>
            <w:vAlign w:val="center"/>
          </w:tcPr>
          <w:p w14:paraId="2A529B60">
            <w:pPr>
              <w:widowControl/>
              <w:spacing w:line="360" w:lineRule="auto"/>
              <w:jc w:val="center"/>
              <w:rPr>
                <w:rFonts w:ascii="Times New Roman" w:hAnsi="Times New Roman" w:eastAsia="宋体" w:cs="Times New Roman"/>
                <w:sz w:val="24"/>
                <w:szCs w:val="28"/>
              </w:rPr>
            </w:pPr>
            <w:r>
              <w:rPr>
                <w:rFonts w:ascii="Times New Roman" w:hAnsi="Times New Roman" w:eastAsia="宋体" w:cs="Times New Roman"/>
                <w:sz w:val="24"/>
                <w:szCs w:val="28"/>
              </w:rPr>
              <w:t>Glycolysis + pyruvate oxidation backbone</w:t>
            </w:r>
          </w:p>
        </w:tc>
        <w:tc>
          <w:tcPr>
            <w:tcW w:w="2540" w:type="dxa"/>
            <w:vAlign w:val="center"/>
          </w:tcPr>
          <w:p w14:paraId="3E1F7F47">
            <w:pPr>
              <w:widowControl/>
              <w:spacing w:line="360" w:lineRule="auto"/>
              <w:jc w:val="center"/>
              <w:rPr>
                <w:rFonts w:ascii="Times New Roman" w:hAnsi="Times New Roman" w:eastAsia="宋体" w:cs="Times New Roman"/>
                <w:sz w:val="24"/>
                <w:szCs w:val="28"/>
              </w:rPr>
            </w:pPr>
            <w:r>
              <w:rPr>
                <w:rFonts w:ascii="Times New Roman" w:hAnsi="Times New Roman" w:eastAsia="宋体" w:cs="Times New Roman"/>
                <w:sz w:val="24"/>
                <w:szCs w:val="28"/>
              </w:rPr>
              <w:t>MAG208, MAG299, MAG434, MAG458, MAG478, MAG534</w:t>
            </w:r>
          </w:p>
        </w:tc>
      </w:tr>
      <w:tr w14:paraId="790AC37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1" w:type="dxa"/>
            <w:vAlign w:val="center"/>
          </w:tcPr>
          <w:p w14:paraId="359FB0B5">
            <w:pPr>
              <w:widowControl/>
              <w:spacing w:line="360" w:lineRule="auto"/>
              <w:jc w:val="center"/>
              <w:rPr>
                <w:rFonts w:ascii="Times New Roman" w:hAnsi="Times New Roman" w:eastAsia="宋体" w:cs="Times New Roman"/>
                <w:sz w:val="24"/>
                <w:szCs w:val="28"/>
              </w:rPr>
            </w:pPr>
            <w:r>
              <w:rPr>
                <w:rFonts w:ascii="Times New Roman" w:hAnsi="Times New Roman" w:eastAsia="宋体" w:cs="Times New Roman"/>
                <w:sz w:val="24"/>
                <w:szCs w:val="28"/>
              </w:rPr>
              <w:t>End-product branches</w:t>
            </w:r>
          </w:p>
        </w:tc>
        <w:tc>
          <w:tcPr>
            <w:tcW w:w="1980" w:type="dxa"/>
            <w:vAlign w:val="center"/>
          </w:tcPr>
          <w:p w14:paraId="4A4AEC84">
            <w:pPr>
              <w:widowControl/>
              <w:spacing w:line="360" w:lineRule="auto"/>
              <w:jc w:val="center"/>
              <w:rPr>
                <w:rFonts w:ascii="Times New Roman" w:hAnsi="Times New Roman" w:eastAsia="宋体" w:cs="Times New Roman"/>
                <w:sz w:val="24"/>
                <w:szCs w:val="28"/>
              </w:rPr>
            </w:pPr>
            <w:r>
              <w:rPr>
                <w:rFonts w:ascii="Times New Roman" w:hAnsi="Times New Roman" w:eastAsia="宋体" w:cs="Times New Roman"/>
                <w:sz w:val="24"/>
                <w:szCs w:val="28"/>
              </w:rPr>
              <w:t>M00579 (acetate, supported by K00925/K13788); butyrate branch (K00634; K01034; K01035)</w:t>
            </w:r>
          </w:p>
        </w:tc>
        <w:tc>
          <w:tcPr>
            <w:tcW w:w="3407" w:type="dxa"/>
            <w:vAlign w:val="center"/>
          </w:tcPr>
          <w:p w14:paraId="376058D9">
            <w:pPr>
              <w:widowControl/>
              <w:spacing w:line="360" w:lineRule="auto"/>
              <w:jc w:val="center"/>
              <w:rPr>
                <w:rFonts w:ascii="Times New Roman" w:hAnsi="Times New Roman" w:eastAsia="宋体" w:cs="Times New Roman"/>
                <w:sz w:val="24"/>
                <w:szCs w:val="28"/>
              </w:rPr>
            </w:pPr>
            <w:r>
              <w:rPr>
                <w:rFonts w:ascii="Times New Roman" w:hAnsi="Times New Roman" w:eastAsia="宋体" w:cs="Times New Roman"/>
                <w:sz w:val="24"/>
                <w:szCs w:val="28"/>
              </w:rPr>
              <w:t>Detected end-product branches: acetate and butyrate only</w:t>
            </w:r>
          </w:p>
        </w:tc>
        <w:tc>
          <w:tcPr>
            <w:tcW w:w="2540" w:type="dxa"/>
            <w:vAlign w:val="center"/>
          </w:tcPr>
          <w:p w14:paraId="063D4EF5">
            <w:pPr>
              <w:widowControl/>
              <w:spacing w:line="360" w:lineRule="auto"/>
              <w:jc w:val="center"/>
              <w:rPr>
                <w:rFonts w:ascii="Times New Roman" w:hAnsi="Times New Roman" w:eastAsia="宋体" w:cs="Times New Roman"/>
                <w:sz w:val="24"/>
                <w:szCs w:val="28"/>
              </w:rPr>
            </w:pPr>
            <w:r>
              <w:rPr>
                <w:rFonts w:ascii="Times New Roman" w:hAnsi="Times New Roman" w:eastAsia="宋体" w:cs="Times New Roman"/>
                <w:sz w:val="24"/>
                <w:szCs w:val="28"/>
              </w:rPr>
              <w:t>MAG299, MAG434</w:t>
            </w:r>
          </w:p>
        </w:tc>
      </w:tr>
    </w:tbl>
    <w:p w14:paraId="2CF9FB2F">
      <w:pPr>
        <w:widowControl/>
        <w:jc w:val="left"/>
        <w:rPr>
          <w:rFonts w:ascii="Times New Roman" w:hAnsi="Times New Roman" w:eastAsia="宋体" w:cs="Times New Roman"/>
          <w:b/>
          <w:bCs/>
          <w:sz w:val="24"/>
          <w:szCs w:val="28"/>
        </w:rPr>
      </w:pPr>
      <w:r>
        <w:rPr>
          <w:rFonts w:ascii="Times New Roman" w:hAnsi="Times New Roman" w:eastAsia="宋体" w:cs="Times New Roman"/>
          <w:b/>
          <w:bCs/>
          <w:sz w:val="24"/>
          <w:szCs w:val="28"/>
        </w:rPr>
        <w:br w:type="page"/>
      </w:r>
    </w:p>
    <w:p w14:paraId="319E8EB1">
      <w:pPr>
        <w:spacing w:line="360" w:lineRule="auto"/>
        <w:rPr>
          <w:rFonts w:ascii="Times New Roman" w:hAnsi="Times New Roman" w:cs="Times New Roman"/>
          <w:b/>
          <w:bCs/>
          <w:color w:val="000000" w:themeColor="text1"/>
          <w:sz w:val="24"/>
          <w:szCs w:val="24"/>
          <w:shd w:val="clear" w:color="auto" w:fill="FFFFFF"/>
          <w14:textFill>
            <w14:solidFill>
              <w14:schemeClr w14:val="tx1"/>
            </w14:solidFill>
          </w14:textFill>
        </w:rPr>
      </w:pPr>
      <w:r>
        <w:rPr>
          <w:rFonts w:ascii="Times New Roman" w:hAnsi="Times New Roman" w:cs="Times New Roman"/>
          <w:b/>
          <w:bCs/>
          <w:color w:val="000000" w:themeColor="text1"/>
          <w:sz w:val="24"/>
          <w:szCs w:val="24"/>
          <w:shd w:val="clear" w:color="auto" w:fill="FFFFFF"/>
          <w14:textFill>
            <w14:solidFill>
              <w14:schemeClr w14:val="tx1"/>
            </w14:solidFill>
          </w14:textFill>
        </w:rPr>
        <w:t>Supplementary Table 2.8 Community-level abundance of ROS-detoxification genes.</w:t>
      </w:r>
    </w:p>
    <w:tbl>
      <w:tblPr>
        <w:tblStyle w:val="8"/>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08"/>
        <w:gridCol w:w="1417"/>
        <w:gridCol w:w="1995"/>
        <w:gridCol w:w="1134"/>
        <w:gridCol w:w="1134"/>
        <w:gridCol w:w="1194"/>
        <w:gridCol w:w="1144"/>
      </w:tblGrid>
      <w:tr w14:paraId="1CA9F9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08" w:type="dxa"/>
            <w:vMerge w:val="restart"/>
            <w:noWrap/>
            <w:vAlign w:val="center"/>
          </w:tcPr>
          <w:p w14:paraId="2AD4E0C9">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EC Number</w:t>
            </w:r>
          </w:p>
        </w:tc>
        <w:tc>
          <w:tcPr>
            <w:tcW w:w="1417" w:type="dxa"/>
            <w:vMerge w:val="restart"/>
            <w:noWrap/>
            <w:vAlign w:val="center"/>
          </w:tcPr>
          <w:p w14:paraId="43C0599C">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K Number</w:t>
            </w:r>
          </w:p>
        </w:tc>
        <w:tc>
          <w:tcPr>
            <w:tcW w:w="1995" w:type="dxa"/>
            <w:vMerge w:val="restart"/>
            <w:noWrap/>
            <w:vAlign w:val="center"/>
          </w:tcPr>
          <w:p w14:paraId="453A804D">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Description</w:t>
            </w:r>
          </w:p>
        </w:tc>
        <w:tc>
          <w:tcPr>
            <w:tcW w:w="4606" w:type="dxa"/>
            <w:gridSpan w:val="4"/>
            <w:noWrap/>
            <w:vAlign w:val="center"/>
          </w:tcPr>
          <w:p w14:paraId="7058E083">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Abundance (%)</w:t>
            </w:r>
          </w:p>
        </w:tc>
      </w:tr>
      <w:tr w14:paraId="13C6539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08" w:type="dxa"/>
            <w:vMerge w:val="continue"/>
            <w:tcBorders>
              <w:bottom w:val="single" w:color="auto" w:sz="8" w:space="0"/>
            </w:tcBorders>
            <w:vAlign w:val="center"/>
          </w:tcPr>
          <w:p w14:paraId="3FE5C826">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p>
        </w:tc>
        <w:tc>
          <w:tcPr>
            <w:tcW w:w="1417" w:type="dxa"/>
            <w:vMerge w:val="continue"/>
            <w:tcBorders>
              <w:bottom w:val="single" w:color="auto" w:sz="8" w:space="0"/>
            </w:tcBorders>
            <w:vAlign w:val="center"/>
          </w:tcPr>
          <w:p w14:paraId="6D3C257B">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p>
        </w:tc>
        <w:tc>
          <w:tcPr>
            <w:tcW w:w="1995" w:type="dxa"/>
            <w:vMerge w:val="continue"/>
            <w:tcBorders>
              <w:bottom w:val="single" w:color="auto" w:sz="8" w:space="0"/>
            </w:tcBorders>
            <w:vAlign w:val="center"/>
          </w:tcPr>
          <w:p w14:paraId="3776CB0F">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p>
        </w:tc>
        <w:tc>
          <w:tcPr>
            <w:tcW w:w="1134" w:type="dxa"/>
            <w:tcBorders>
              <w:top w:val="single" w:color="auto" w:sz="8" w:space="0"/>
              <w:bottom w:val="single" w:color="auto" w:sz="8" w:space="0"/>
            </w:tcBorders>
            <w:noWrap/>
            <w:vAlign w:val="center"/>
          </w:tcPr>
          <w:p w14:paraId="6358BD2A">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CK</w:t>
            </w:r>
          </w:p>
          <w:p w14:paraId="5E5DCF5E">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Phase Ⅱ</w:t>
            </w:r>
          </w:p>
        </w:tc>
        <w:tc>
          <w:tcPr>
            <w:tcW w:w="1134" w:type="dxa"/>
            <w:tcBorders>
              <w:top w:val="single" w:color="auto" w:sz="8" w:space="0"/>
              <w:bottom w:val="single" w:color="auto" w:sz="8" w:space="0"/>
            </w:tcBorders>
            <w:noWrap/>
            <w:vAlign w:val="center"/>
          </w:tcPr>
          <w:p w14:paraId="4FE9448E">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MG</w:t>
            </w:r>
          </w:p>
          <w:p w14:paraId="42F7DBA5">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Phase Ⅱ</w:t>
            </w:r>
          </w:p>
        </w:tc>
        <w:tc>
          <w:tcPr>
            <w:tcW w:w="1194" w:type="dxa"/>
            <w:tcBorders>
              <w:top w:val="single" w:color="auto" w:sz="8" w:space="0"/>
              <w:bottom w:val="single" w:color="auto" w:sz="8" w:space="0"/>
            </w:tcBorders>
            <w:noWrap/>
            <w:vAlign w:val="center"/>
          </w:tcPr>
          <w:p w14:paraId="39B21D89">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CK</w:t>
            </w:r>
          </w:p>
          <w:p w14:paraId="0123ED63">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Phase Ⅳ</w:t>
            </w:r>
          </w:p>
        </w:tc>
        <w:tc>
          <w:tcPr>
            <w:tcW w:w="1144" w:type="dxa"/>
            <w:tcBorders>
              <w:top w:val="single" w:color="auto" w:sz="8" w:space="0"/>
              <w:bottom w:val="single" w:color="auto" w:sz="8" w:space="0"/>
            </w:tcBorders>
            <w:noWrap/>
            <w:vAlign w:val="center"/>
          </w:tcPr>
          <w:p w14:paraId="5A568F8F">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MG</w:t>
            </w:r>
          </w:p>
          <w:p w14:paraId="45CE3B50">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Phase Ⅳ</w:t>
            </w:r>
          </w:p>
        </w:tc>
      </w:tr>
      <w:tr w14:paraId="6007881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08" w:type="dxa"/>
            <w:vMerge w:val="restart"/>
            <w:tcBorders>
              <w:top w:val="single" w:color="auto" w:sz="8" w:space="0"/>
            </w:tcBorders>
            <w:noWrap/>
            <w:vAlign w:val="center"/>
          </w:tcPr>
          <w:p w14:paraId="3A8288ED">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EC 1.15.1.1</w:t>
            </w:r>
          </w:p>
        </w:tc>
        <w:tc>
          <w:tcPr>
            <w:tcW w:w="1417" w:type="dxa"/>
            <w:tcBorders>
              <w:top w:val="single" w:color="auto" w:sz="8" w:space="0"/>
            </w:tcBorders>
            <w:noWrap/>
            <w:vAlign w:val="center"/>
          </w:tcPr>
          <w:p w14:paraId="3CCBAC3D">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K04564</w:t>
            </w:r>
          </w:p>
        </w:tc>
        <w:tc>
          <w:tcPr>
            <w:tcW w:w="1995" w:type="dxa"/>
            <w:tcBorders>
              <w:top w:val="single" w:color="auto" w:sz="8" w:space="0"/>
            </w:tcBorders>
            <w:noWrap/>
            <w:vAlign w:val="center"/>
          </w:tcPr>
          <w:p w14:paraId="6C9B6637">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SOD2; superoxide dismutase, Fe-Mn family</w:t>
            </w:r>
          </w:p>
        </w:tc>
        <w:tc>
          <w:tcPr>
            <w:tcW w:w="1134" w:type="dxa"/>
            <w:tcBorders>
              <w:top w:val="single" w:color="auto" w:sz="8" w:space="0"/>
            </w:tcBorders>
            <w:noWrap/>
            <w:vAlign w:val="center"/>
          </w:tcPr>
          <w:p w14:paraId="20AD45D1">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0.059506</w:t>
            </w:r>
          </w:p>
        </w:tc>
        <w:tc>
          <w:tcPr>
            <w:tcW w:w="1134" w:type="dxa"/>
            <w:tcBorders>
              <w:top w:val="single" w:color="auto" w:sz="8" w:space="0"/>
            </w:tcBorders>
            <w:noWrap/>
            <w:vAlign w:val="center"/>
          </w:tcPr>
          <w:p w14:paraId="325C23E4">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0.047754</w:t>
            </w:r>
          </w:p>
        </w:tc>
        <w:tc>
          <w:tcPr>
            <w:tcW w:w="1194" w:type="dxa"/>
            <w:tcBorders>
              <w:top w:val="single" w:color="auto" w:sz="8" w:space="0"/>
            </w:tcBorders>
            <w:noWrap/>
            <w:vAlign w:val="center"/>
          </w:tcPr>
          <w:p w14:paraId="13D9A7D0">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0.059434</w:t>
            </w:r>
          </w:p>
        </w:tc>
        <w:tc>
          <w:tcPr>
            <w:tcW w:w="1144" w:type="dxa"/>
            <w:tcBorders>
              <w:top w:val="single" w:color="auto" w:sz="8" w:space="0"/>
            </w:tcBorders>
            <w:noWrap/>
            <w:vAlign w:val="center"/>
          </w:tcPr>
          <w:p w14:paraId="2007A311">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0.036277</w:t>
            </w:r>
          </w:p>
        </w:tc>
      </w:tr>
      <w:tr w14:paraId="447572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08" w:type="dxa"/>
            <w:vMerge w:val="continue"/>
            <w:vAlign w:val="center"/>
          </w:tcPr>
          <w:p w14:paraId="1BFD7836">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p>
        </w:tc>
        <w:tc>
          <w:tcPr>
            <w:tcW w:w="1417" w:type="dxa"/>
            <w:noWrap/>
            <w:vAlign w:val="center"/>
          </w:tcPr>
          <w:p w14:paraId="65F96184">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K00518</w:t>
            </w:r>
          </w:p>
        </w:tc>
        <w:tc>
          <w:tcPr>
            <w:tcW w:w="1995" w:type="dxa"/>
            <w:noWrap/>
            <w:vAlign w:val="center"/>
          </w:tcPr>
          <w:p w14:paraId="2B1F041C">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SOD1; superoxide dismutase, Cu-Zn family</w:t>
            </w:r>
          </w:p>
        </w:tc>
        <w:tc>
          <w:tcPr>
            <w:tcW w:w="1134" w:type="dxa"/>
            <w:noWrap/>
            <w:vAlign w:val="center"/>
          </w:tcPr>
          <w:p w14:paraId="5FED6303">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0.003274</w:t>
            </w:r>
          </w:p>
        </w:tc>
        <w:tc>
          <w:tcPr>
            <w:tcW w:w="1134" w:type="dxa"/>
            <w:noWrap/>
            <w:vAlign w:val="center"/>
          </w:tcPr>
          <w:p w14:paraId="30FC56D0">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0.001631</w:t>
            </w:r>
          </w:p>
        </w:tc>
        <w:tc>
          <w:tcPr>
            <w:tcW w:w="1194" w:type="dxa"/>
            <w:noWrap/>
            <w:vAlign w:val="center"/>
          </w:tcPr>
          <w:p w14:paraId="5B9B328B">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0.002773</w:t>
            </w:r>
          </w:p>
        </w:tc>
        <w:tc>
          <w:tcPr>
            <w:tcW w:w="1144" w:type="dxa"/>
            <w:noWrap/>
            <w:vAlign w:val="center"/>
          </w:tcPr>
          <w:p w14:paraId="6BEED530">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0.001052</w:t>
            </w:r>
          </w:p>
        </w:tc>
      </w:tr>
      <w:tr w14:paraId="0253863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08" w:type="dxa"/>
            <w:tcBorders>
              <w:bottom w:val="nil"/>
            </w:tcBorders>
            <w:noWrap/>
            <w:vAlign w:val="center"/>
          </w:tcPr>
          <w:p w14:paraId="68B086FD">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EC 1.11.1.6</w:t>
            </w:r>
          </w:p>
        </w:tc>
        <w:tc>
          <w:tcPr>
            <w:tcW w:w="1417" w:type="dxa"/>
            <w:tcBorders>
              <w:bottom w:val="nil"/>
            </w:tcBorders>
            <w:noWrap/>
            <w:vAlign w:val="center"/>
          </w:tcPr>
          <w:p w14:paraId="57377CC3">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K07217</w:t>
            </w:r>
          </w:p>
        </w:tc>
        <w:tc>
          <w:tcPr>
            <w:tcW w:w="1995" w:type="dxa"/>
            <w:tcBorders>
              <w:bottom w:val="nil"/>
            </w:tcBorders>
            <w:noWrap/>
            <w:vAlign w:val="center"/>
          </w:tcPr>
          <w:p w14:paraId="06BA316A">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ydbD; manganese catalase</w:t>
            </w:r>
          </w:p>
        </w:tc>
        <w:tc>
          <w:tcPr>
            <w:tcW w:w="1134" w:type="dxa"/>
            <w:tcBorders>
              <w:bottom w:val="nil"/>
            </w:tcBorders>
            <w:noWrap/>
            <w:vAlign w:val="center"/>
          </w:tcPr>
          <w:p w14:paraId="30066A8D">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0.003068</w:t>
            </w:r>
          </w:p>
        </w:tc>
        <w:tc>
          <w:tcPr>
            <w:tcW w:w="1134" w:type="dxa"/>
            <w:tcBorders>
              <w:bottom w:val="nil"/>
            </w:tcBorders>
            <w:noWrap/>
            <w:vAlign w:val="center"/>
          </w:tcPr>
          <w:p w14:paraId="01328229">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0.004343</w:t>
            </w:r>
          </w:p>
        </w:tc>
        <w:tc>
          <w:tcPr>
            <w:tcW w:w="1194" w:type="dxa"/>
            <w:tcBorders>
              <w:bottom w:val="nil"/>
            </w:tcBorders>
            <w:noWrap/>
            <w:vAlign w:val="center"/>
          </w:tcPr>
          <w:p w14:paraId="09B817B2">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0.002727</w:t>
            </w:r>
          </w:p>
        </w:tc>
        <w:tc>
          <w:tcPr>
            <w:tcW w:w="1144" w:type="dxa"/>
            <w:tcBorders>
              <w:bottom w:val="nil"/>
            </w:tcBorders>
            <w:noWrap/>
            <w:vAlign w:val="center"/>
          </w:tcPr>
          <w:p w14:paraId="7671AF00">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0.002063</w:t>
            </w:r>
          </w:p>
        </w:tc>
      </w:tr>
      <w:tr w14:paraId="17168CF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08" w:type="dxa"/>
            <w:vMerge w:val="restart"/>
            <w:tcBorders>
              <w:top w:val="nil"/>
              <w:bottom w:val="nil"/>
            </w:tcBorders>
            <w:noWrap/>
            <w:vAlign w:val="center"/>
          </w:tcPr>
          <w:p w14:paraId="59504A09">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EC 1.11.1.24</w:t>
            </w:r>
          </w:p>
        </w:tc>
        <w:tc>
          <w:tcPr>
            <w:tcW w:w="1417" w:type="dxa"/>
            <w:tcBorders>
              <w:top w:val="nil"/>
              <w:bottom w:val="nil"/>
            </w:tcBorders>
            <w:noWrap/>
            <w:vAlign w:val="center"/>
          </w:tcPr>
          <w:p w14:paraId="7835309B">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K03386</w:t>
            </w:r>
          </w:p>
        </w:tc>
        <w:tc>
          <w:tcPr>
            <w:tcW w:w="1995" w:type="dxa"/>
            <w:tcBorders>
              <w:top w:val="nil"/>
              <w:bottom w:val="nil"/>
            </w:tcBorders>
            <w:noWrap/>
            <w:vAlign w:val="center"/>
          </w:tcPr>
          <w:p w14:paraId="2B96AC63">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PRDX2_4, ahpC; peroxiredoxin 2/4</w:t>
            </w:r>
          </w:p>
        </w:tc>
        <w:tc>
          <w:tcPr>
            <w:tcW w:w="1134" w:type="dxa"/>
            <w:tcBorders>
              <w:top w:val="nil"/>
              <w:bottom w:val="nil"/>
            </w:tcBorders>
            <w:noWrap/>
            <w:vAlign w:val="center"/>
          </w:tcPr>
          <w:p w14:paraId="4E601207">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0.033212</w:t>
            </w:r>
          </w:p>
        </w:tc>
        <w:tc>
          <w:tcPr>
            <w:tcW w:w="1134" w:type="dxa"/>
            <w:tcBorders>
              <w:top w:val="nil"/>
              <w:bottom w:val="nil"/>
            </w:tcBorders>
            <w:noWrap/>
            <w:vAlign w:val="center"/>
          </w:tcPr>
          <w:p w14:paraId="56A07BFF">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0.021817</w:t>
            </w:r>
          </w:p>
        </w:tc>
        <w:tc>
          <w:tcPr>
            <w:tcW w:w="1194" w:type="dxa"/>
            <w:tcBorders>
              <w:top w:val="nil"/>
              <w:bottom w:val="nil"/>
            </w:tcBorders>
            <w:noWrap/>
            <w:vAlign w:val="center"/>
          </w:tcPr>
          <w:p w14:paraId="65C1BD3A">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0.033792</w:t>
            </w:r>
          </w:p>
        </w:tc>
        <w:tc>
          <w:tcPr>
            <w:tcW w:w="1144" w:type="dxa"/>
            <w:tcBorders>
              <w:top w:val="nil"/>
              <w:bottom w:val="nil"/>
            </w:tcBorders>
            <w:noWrap/>
            <w:vAlign w:val="center"/>
          </w:tcPr>
          <w:p w14:paraId="548540DF">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0.013539</w:t>
            </w:r>
          </w:p>
        </w:tc>
      </w:tr>
      <w:tr w14:paraId="539943A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08" w:type="dxa"/>
            <w:vMerge w:val="continue"/>
            <w:tcBorders>
              <w:top w:val="nil"/>
              <w:bottom w:val="nil"/>
            </w:tcBorders>
            <w:vAlign w:val="center"/>
          </w:tcPr>
          <w:p w14:paraId="5729E2E6">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p>
        </w:tc>
        <w:tc>
          <w:tcPr>
            <w:tcW w:w="1417" w:type="dxa"/>
            <w:tcBorders>
              <w:top w:val="nil"/>
              <w:bottom w:val="nil"/>
            </w:tcBorders>
            <w:noWrap/>
            <w:vAlign w:val="center"/>
          </w:tcPr>
          <w:p w14:paraId="7CF27A3A">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K11065</w:t>
            </w:r>
          </w:p>
        </w:tc>
        <w:tc>
          <w:tcPr>
            <w:tcW w:w="1995" w:type="dxa"/>
            <w:tcBorders>
              <w:top w:val="nil"/>
              <w:bottom w:val="nil"/>
            </w:tcBorders>
            <w:noWrap/>
            <w:vAlign w:val="center"/>
          </w:tcPr>
          <w:p w14:paraId="7D47F9C1">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tpx; thioredoxin-dependent peroxiredoxin</w:t>
            </w:r>
          </w:p>
        </w:tc>
        <w:tc>
          <w:tcPr>
            <w:tcW w:w="1134" w:type="dxa"/>
            <w:tcBorders>
              <w:top w:val="nil"/>
              <w:bottom w:val="nil"/>
            </w:tcBorders>
            <w:noWrap/>
            <w:vAlign w:val="center"/>
          </w:tcPr>
          <w:p w14:paraId="4D455687">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0.007707</w:t>
            </w:r>
          </w:p>
        </w:tc>
        <w:tc>
          <w:tcPr>
            <w:tcW w:w="1134" w:type="dxa"/>
            <w:tcBorders>
              <w:top w:val="nil"/>
              <w:bottom w:val="nil"/>
            </w:tcBorders>
            <w:noWrap/>
            <w:vAlign w:val="center"/>
          </w:tcPr>
          <w:p w14:paraId="781544CB">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0.009157</w:t>
            </w:r>
          </w:p>
        </w:tc>
        <w:tc>
          <w:tcPr>
            <w:tcW w:w="1194" w:type="dxa"/>
            <w:tcBorders>
              <w:top w:val="nil"/>
              <w:bottom w:val="nil"/>
            </w:tcBorders>
            <w:noWrap/>
            <w:vAlign w:val="center"/>
          </w:tcPr>
          <w:p w14:paraId="62FD1216">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0.010359</w:t>
            </w:r>
          </w:p>
        </w:tc>
        <w:tc>
          <w:tcPr>
            <w:tcW w:w="1144" w:type="dxa"/>
            <w:tcBorders>
              <w:top w:val="nil"/>
              <w:bottom w:val="nil"/>
            </w:tcBorders>
            <w:noWrap/>
            <w:vAlign w:val="center"/>
          </w:tcPr>
          <w:p w14:paraId="21ABB707">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0.005882</w:t>
            </w:r>
          </w:p>
        </w:tc>
      </w:tr>
      <w:tr w14:paraId="5CAD555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08" w:type="dxa"/>
            <w:vMerge w:val="continue"/>
            <w:tcBorders>
              <w:top w:val="nil"/>
              <w:bottom w:val="nil"/>
            </w:tcBorders>
            <w:vAlign w:val="center"/>
          </w:tcPr>
          <w:p w14:paraId="39C4919E">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p>
        </w:tc>
        <w:tc>
          <w:tcPr>
            <w:tcW w:w="1417" w:type="dxa"/>
            <w:tcBorders>
              <w:top w:val="nil"/>
              <w:bottom w:val="nil"/>
            </w:tcBorders>
            <w:noWrap/>
            <w:vAlign w:val="center"/>
          </w:tcPr>
          <w:p w14:paraId="4513263A">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K13279</w:t>
            </w:r>
          </w:p>
        </w:tc>
        <w:tc>
          <w:tcPr>
            <w:tcW w:w="1995" w:type="dxa"/>
            <w:tcBorders>
              <w:top w:val="nil"/>
              <w:bottom w:val="nil"/>
            </w:tcBorders>
            <w:noWrap/>
            <w:vAlign w:val="center"/>
          </w:tcPr>
          <w:p w14:paraId="0AAE5205">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PRDX1; peroxiredoxin 1</w:t>
            </w:r>
          </w:p>
        </w:tc>
        <w:tc>
          <w:tcPr>
            <w:tcW w:w="1134" w:type="dxa"/>
            <w:tcBorders>
              <w:top w:val="nil"/>
              <w:bottom w:val="nil"/>
            </w:tcBorders>
            <w:noWrap/>
            <w:vAlign w:val="center"/>
          </w:tcPr>
          <w:p w14:paraId="5C8D4037">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0.005602</w:t>
            </w:r>
          </w:p>
        </w:tc>
        <w:tc>
          <w:tcPr>
            <w:tcW w:w="1134" w:type="dxa"/>
            <w:tcBorders>
              <w:top w:val="nil"/>
              <w:bottom w:val="nil"/>
            </w:tcBorders>
            <w:noWrap/>
            <w:vAlign w:val="center"/>
          </w:tcPr>
          <w:p w14:paraId="31E552E0">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0.002653</w:t>
            </w:r>
          </w:p>
        </w:tc>
        <w:tc>
          <w:tcPr>
            <w:tcW w:w="1194" w:type="dxa"/>
            <w:tcBorders>
              <w:top w:val="nil"/>
              <w:bottom w:val="nil"/>
            </w:tcBorders>
            <w:noWrap/>
            <w:vAlign w:val="center"/>
          </w:tcPr>
          <w:p w14:paraId="45A92D7F">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0.005457</w:t>
            </w:r>
          </w:p>
        </w:tc>
        <w:tc>
          <w:tcPr>
            <w:tcW w:w="1144" w:type="dxa"/>
            <w:tcBorders>
              <w:top w:val="nil"/>
              <w:bottom w:val="nil"/>
            </w:tcBorders>
            <w:noWrap/>
            <w:vAlign w:val="center"/>
          </w:tcPr>
          <w:p w14:paraId="06433DFA">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0.002421</w:t>
            </w:r>
          </w:p>
        </w:tc>
      </w:tr>
      <w:tr w14:paraId="26AD46A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08" w:type="dxa"/>
            <w:vMerge w:val="continue"/>
            <w:tcBorders>
              <w:top w:val="nil"/>
              <w:bottom w:val="nil"/>
            </w:tcBorders>
            <w:vAlign w:val="center"/>
          </w:tcPr>
          <w:p w14:paraId="00AEF8CB">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p>
        </w:tc>
        <w:tc>
          <w:tcPr>
            <w:tcW w:w="1417" w:type="dxa"/>
            <w:tcBorders>
              <w:top w:val="nil"/>
              <w:bottom w:val="nil"/>
            </w:tcBorders>
            <w:noWrap/>
            <w:vAlign w:val="center"/>
          </w:tcPr>
          <w:p w14:paraId="538B3A98">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K24157</w:t>
            </w:r>
          </w:p>
        </w:tc>
        <w:tc>
          <w:tcPr>
            <w:tcW w:w="1995" w:type="dxa"/>
            <w:tcBorders>
              <w:top w:val="nil"/>
              <w:bottom w:val="nil"/>
            </w:tcBorders>
            <w:noWrap/>
            <w:vAlign w:val="center"/>
          </w:tcPr>
          <w:p w14:paraId="1F53B190">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prxII; thioredoxin-dependent peroxiredoxin</w:t>
            </w:r>
          </w:p>
        </w:tc>
        <w:tc>
          <w:tcPr>
            <w:tcW w:w="1134" w:type="dxa"/>
            <w:tcBorders>
              <w:top w:val="nil"/>
              <w:bottom w:val="nil"/>
            </w:tcBorders>
            <w:noWrap/>
            <w:vAlign w:val="center"/>
          </w:tcPr>
          <w:p w14:paraId="68CFA62B">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7.70E-05</w:t>
            </w:r>
          </w:p>
        </w:tc>
        <w:tc>
          <w:tcPr>
            <w:tcW w:w="1134" w:type="dxa"/>
            <w:tcBorders>
              <w:top w:val="nil"/>
              <w:bottom w:val="nil"/>
            </w:tcBorders>
            <w:noWrap/>
            <w:vAlign w:val="center"/>
          </w:tcPr>
          <w:p w14:paraId="0126BD0E">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0.000312</w:t>
            </w:r>
          </w:p>
        </w:tc>
        <w:tc>
          <w:tcPr>
            <w:tcW w:w="1194" w:type="dxa"/>
            <w:tcBorders>
              <w:top w:val="nil"/>
              <w:bottom w:val="nil"/>
            </w:tcBorders>
            <w:noWrap/>
            <w:vAlign w:val="center"/>
          </w:tcPr>
          <w:p w14:paraId="462F781C">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3.10E-05</w:t>
            </w:r>
          </w:p>
        </w:tc>
        <w:tc>
          <w:tcPr>
            <w:tcW w:w="1144" w:type="dxa"/>
            <w:tcBorders>
              <w:top w:val="nil"/>
              <w:bottom w:val="nil"/>
            </w:tcBorders>
            <w:noWrap/>
            <w:vAlign w:val="center"/>
          </w:tcPr>
          <w:p w14:paraId="261FA297">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0.000152</w:t>
            </w:r>
          </w:p>
        </w:tc>
      </w:tr>
      <w:tr w14:paraId="34895C2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08" w:type="dxa"/>
            <w:tcBorders>
              <w:top w:val="nil"/>
              <w:bottom w:val="single" w:color="auto" w:sz="12" w:space="0"/>
            </w:tcBorders>
            <w:noWrap/>
            <w:vAlign w:val="center"/>
          </w:tcPr>
          <w:p w14:paraId="607D7A85">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EC 1.11.1.21</w:t>
            </w:r>
          </w:p>
        </w:tc>
        <w:tc>
          <w:tcPr>
            <w:tcW w:w="1417" w:type="dxa"/>
            <w:tcBorders>
              <w:top w:val="nil"/>
              <w:bottom w:val="single" w:color="auto" w:sz="12" w:space="0"/>
            </w:tcBorders>
            <w:noWrap/>
            <w:vAlign w:val="center"/>
          </w:tcPr>
          <w:p w14:paraId="48D21D14">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K03782</w:t>
            </w:r>
          </w:p>
        </w:tc>
        <w:tc>
          <w:tcPr>
            <w:tcW w:w="1995" w:type="dxa"/>
            <w:tcBorders>
              <w:top w:val="nil"/>
              <w:bottom w:val="single" w:color="auto" w:sz="12" w:space="0"/>
            </w:tcBorders>
            <w:noWrap/>
            <w:vAlign w:val="center"/>
          </w:tcPr>
          <w:p w14:paraId="3FB25D29">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katG; catalase-peroxidase</w:t>
            </w:r>
          </w:p>
        </w:tc>
        <w:tc>
          <w:tcPr>
            <w:tcW w:w="1134" w:type="dxa"/>
            <w:tcBorders>
              <w:top w:val="nil"/>
              <w:bottom w:val="single" w:color="auto" w:sz="12" w:space="0"/>
            </w:tcBorders>
            <w:noWrap/>
            <w:vAlign w:val="center"/>
          </w:tcPr>
          <w:p w14:paraId="38ACC004">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0.011475</w:t>
            </w:r>
          </w:p>
        </w:tc>
        <w:tc>
          <w:tcPr>
            <w:tcW w:w="1134" w:type="dxa"/>
            <w:tcBorders>
              <w:top w:val="nil"/>
              <w:bottom w:val="single" w:color="auto" w:sz="12" w:space="0"/>
            </w:tcBorders>
            <w:noWrap/>
            <w:vAlign w:val="center"/>
          </w:tcPr>
          <w:p w14:paraId="564F364A">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0.011602</w:t>
            </w:r>
          </w:p>
        </w:tc>
        <w:tc>
          <w:tcPr>
            <w:tcW w:w="1194" w:type="dxa"/>
            <w:tcBorders>
              <w:top w:val="nil"/>
              <w:bottom w:val="single" w:color="auto" w:sz="12" w:space="0"/>
            </w:tcBorders>
            <w:noWrap/>
            <w:vAlign w:val="center"/>
          </w:tcPr>
          <w:p w14:paraId="37E290BF">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0.009034</w:t>
            </w:r>
          </w:p>
        </w:tc>
        <w:tc>
          <w:tcPr>
            <w:tcW w:w="1144" w:type="dxa"/>
            <w:tcBorders>
              <w:top w:val="nil"/>
              <w:bottom w:val="single" w:color="auto" w:sz="12" w:space="0"/>
            </w:tcBorders>
            <w:noWrap/>
            <w:vAlign w:val="center"/>
          </w:tcPr>
          <w:p w14:paraId="09D7BD64">
            <w:pPr>
              <w:widowControl/>
              <w:spacing w:line="360" w:lineRule="auto"/>
              <w:jc w:val="center"/>
              <w:rPr>
                <w:rFonts w:ascii="Times New Roman" w:hAnsi="Times New Roman" w:eastAsia="等线" w:cs="Times New Roman"/>
                <w:color w:val="000000" w:themeColor="text1"/>
                <w:kern w:val="0"/>
                <w:sz w:val="24"/>
                <w:szCs w:val="24"/>
                <w14:textFill>
                  <w14:solidFill>
                    <w14:schemeClr w14:val="tx1"/>
                  </w14:solidFill>
                </w14:textFill>
              </w:rPr>
            </w:pPr>
            <w:r>
              <w:rPr>
                <w:rFonts w:ascii="Times New Roman" w:hAnsi="Times New Roman" w:eastAsia="等线" w:cs="Times New Roman"/>
                <w:color w:val="000000" w:themeColor="text1"/>
                <w:kern w:val="0"/>
                <w:sz w:val="24"/>
                <w:szCs w:val="24"/>
                <w14:textFill>
                  <w14:solidFill>
                    <w14:schemeClr w14:val="tx1"/>
                  </w14:solidFill>
                </w14:textFill>
              </w:rPr>
              <w:t>0.005646</w:t>
            </w:r>
          </w:p>
        </w:tc>
      </w:tr>
    </w:tbl>
    <w:p w14:paraId="765C405E">
      <w:pPr>
        <w:autoSpaceDE w:val="0"/>
        <w:autoSpaceDN w:val="0"/>
        <w:spacing w:line="360" w:lineRule="auto"/>
        <w:rPr>
          <w:rFonts w:ascii="Times New Roman" w:hAnsi="Times New Roman" w:eastAsia="宋体" w:cs="Times New Roman"/>
          <w:color w:val="000000" w:themeColor="text1"/>
          <w:sz w:val="24"/>
          <w:szCs w:val="24"/>
          <w14:textFill>
            <w14:solidFill>
              <w14:schemeClr w14:val="tx1"/>
            </w14:solidFill>
          </w14:textFill>
        </w:rPr>
      </w:pPr>
    </w:p>
    <w:p w14:paraId="435F26F5">
      <w:pPr>
        <w:widowControl/>
        <w:jc w:val="left"/>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br w:type="page"/>
      </w:r>
    </w:p>
    <w:p w14:paraId="01365190">
      <w:pPr>
        <w:spacing w:line="360" w:lineRule="auto"/>
        <w:rPr>
          <w:rFonts w:ascii="Times New Roman" w:hAnsi="Times New Roman" w:cs="Times New Roman"/>
          <w:b/>
          <w:bCs/>
          <w:sz w:val="24"/>
          <w:szCs w:val="24"/>
          <w:shd w:val="clear" w:color="auto" w:fill="FFFFFF"/>
        </w:rPr>
      </w:pPr>
      <w:r>
        <w:rPr>
          <w:rFonts w:ascii="Times New Roman" w:hAnsi="Times New Roman" w:cs="Times New Roman"/>
          <w:b/>
          <w:bCs/>
          <w:sz w:val="24"/>
          <w:szCs w:val="24"/>
          <w:shd w:val="clear" w:color="auto" w:fill="FFFFFF"/>
        </w:rPr>
        <w:t>Supplementary Table 2.9 Preliminary engineering comparison of the proposed side-stream micro-aeration strategy with conventional approaches for mitigating ammonia inhibition in anaerobic digestion.</w:t>
      </w:r>
    </w:p>
    <w:tbl>
      <w:tblPr>
        <w:tblStyle w:val="8"/>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29"/>
        <w:gridCol w:w="2762"/>
        <w:gridCol w:w="2664"/>
        <w:gridCol w:w="2583"/>
      </w:tblGrid>
      <w:tr w14:paraId="175E599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trHeight w:val="938" w:hRule="atLeast"/>
        </w:trPr>
        <w:tc>
          <w:tcPr>
            <w:tcW w:w="795" w:type="pct"/>
            <w:tcBorders>
              <w:bottom w:val="single" w:color="auto" w:sz="8" w:space="0"/>
            </w:tcBorders>
            <w:vAlign w:val="center"/>
          </w:tcPr>
          <w:p w14:paraId="1BE3A20F">
            <w:pPr>
              <w:widowControl/>
              <w:spacing w:line="360" w:lineRule="auto"/>
              <w:jc w:val="center"/>
              <w:rPr>
                <w:rFonts w:ascii="Times New Roman" w:hAnsi="Times New Roman" w:eastAsia="等线" w:cs="Times New Roman"/>
                <w:kern w:val="0"/>
                <w:sz w:val="24"/>
                <w:szCs w:val="24"/>
              </w:rPr>
            </w:pPr>
            <w:r>
              <w:rPr>
                <w:rFonts w:ascii="Times New Roman" w:hAnsi="Times New Roman" w:eastAsia="等线" w:cs="Times New Roman"/>
                <w:kern w:val="0"/>
                <w:sz w:val="24"/>
                <w:szCs w:val="24"/>
              </w:rPr>
              <w:t>Approach</w:t>
            </w:r>
          </w:p>
        </w:tc>
        <w:tc>
          <w:tcPr>
            <w:tcW w:w="1100" w:type="pct"/>
            <w:tcBorders>
              <w:bottom w:val="single" w:color="auto" w:sz="8" w:space="0"/>
            </w:tcBorders>
            <w:vAlign w:val="center"/>
          </w:tcPr>
          <w:p w14:paraId="06CCDB64">
            <w:pPr>
              <w:widowControl/>
              <w:spacing w:line="360" w:lineRule="auto"/>
              <w:jc w:val="center"/>
              <w:rPr>
                <w:rFonts w:ascii="Times New Roman" w:hAnsi="Times New Roman" w:eastAsia="等线" w:cs="Times New Roman"/>
                <w:kern w:val="0"/>
                <w:sz w:val="24"/>
                <w:szCs w:val="24"/>
              </w:rPr>
            </w:pPr>
            <w:r>
              <w:rPr>
                <w:rFonts w:ascii="Times New Roman" w:hAnsi="Times New Roman" w:eastAsia="等线" w:cs="Times New Roman"/>
                <w:kern w:val="0"/>
                <w:sz w:val="24"/>
                <w:szCs w:val="24"/>
              </w:rPr>
              <w:t>Main material input</w:t>
            </w:r>
          </w:p>
        </w:tc>
        <w:tc>
          <w:tcPr>
            <w:tcW w:w="1573" w:type="pct"/>
            <w:tcBorders>
              <w:bottom w:val="single" w:color="auto" w:sz="8" w:space="0"/>
            </w:tcBorders>
            <w:vAlign w:val="center"/>
          </w:tcPr>
          <w:p w14:paraId="7C09444F">
            <w:pPr>
              <w:widowControl/>
              <w:spacing w:line="360" w:lineRule="auto"/>
              <w:jc w:val="center"/>
              <w:rPr>
                <w:rFonts w:ascii="Times New Roman" w:hAnsi="Times New Roman" w:eastAsia="等线" w:cs="Times New Roman"/>
                <w:kern w:val="0"/>
                <w:sz w:val="24"/>
                <w:szCs w:val="24"/>
              </w:rPr>
            </w:pPr>
            <w:r>
              <w:rPr>
                <w:rFonts w:ascii="Times New Roman" w:hAnsi="Times New Roman" w:eastAsia="等线" w:cs="Times New Roman"/>
                <w:kern w:val="0"/>
                <w:sz w:val="24"/>
                <w:szCs w:val="24"/>
              </w:rPr>
              <w:t>Main energy/cost drivers</w:t>
            </w:r>
          </w:p>
        </w:tc>
        <w:tc>
          <w:tcPr>
            <w:tcW w:w="1531" w:type="pct"/>
            <w:tcBorders>
              <w:bottom w:val="single" w:color="auto" w:sz="8" w:space="0"/>
            </w:tcBorders>
            <w:vAlign w:val="center"/>
          </w:tcPr>
          <w:p w14:paraId="0A8E7D02">
            <w:pPr>
              <w:widowControl/>
              <w:spacing w:line="360" w:lineRule="auto"/>
              <w:jc w:val="center"/>
              <w:rPr>
                <w:rFonts w:ascii="Times New Roman" w:hAnsi="Times New Roman" w:eastAsia="等线" w:cs="Times New Roman"/>
                <w:kern w:val="0"/>
                <w:sz w:val="24"/>
                <w:szCs w:val="24"/>
              </w:rPr>
            </w:pPr>
            <w:r>
              <w:rPr>
                <w:rFonts w:ascii="Times New Roman" w:hAnsi="Times New Roman" w:eastAsia="等线" w:cs="Times New Roman"/>
                <w:kern w:val="0"/>
                <w:sz w:val="24"/>
                <w:szCs w:val="24"/>
              </w:rPr>
              <w:t>Main limitations</w:t>
            </w:r>
          </w:p>
        </w:tc>
      </w:tr>
      <w:tr w14:paraId="37472D9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63" w:hRule="atLeast"/>
        </w:trPr>
        <w:tc>
          <w:tcPr>
            <w:tcW w:w="795" w:type="pct"/>
            <w:tcBorders>
              <w:top w:val="single" w:color="auto" w:sz="8" w:space="0"/>
            </w:tcBorders>
            <w:vAlign w:val="center"/>
          </w:tcPr>
          <w:p w14:paraId="19A0DC77">
            <w:pPr>
              <w:widowControl/>
              <w:spacing w:line="360" w:lineRule="auto"/>
              <w:jc w:val="center"/>
              <w:rPr>
                <w:rFonts w:ascii="Times New Roman" w:hAnsi="Times New Roman" w:eastAsia="等线" w:cs="Times New Roman"/>
                <w:kern w:val="0"/>
                <w:sz w:val="24"/>
                <w:szCs w:val="24"/>
              </w:rPr>
            </w:pPr>
            <w:r>
              <w:rPr>
                <w:rFonts w:ascii="Times New Roman" w:hAnsi="Times New Roman" w:eastAsia="等线" w:cs="Times New Roman"/>
                <w:kern w:val="0"/>
                <w:sz w:val="24"/>
                <w:szCs w:val="24"/>
              </w:rPr>
              <w:t>Proposed side-stream micro-aeration</w:t>
            </w:r>
          </w:p>
        </w:tc>
        <w:tc>
          <w:tcPr>
            <w:tcW w:w="1100" w:type="pct"/>
            <w:tcBorders>
              <w:top w:val="single" w:color="auto" w:sz="8" w:space="0"/>
            </w:tcBorders>
            <w:vAlign w:val="center"/>
          </w:tcPr>
          <w:p w14:paraId="4B368172">
            <w:pPr>
              <w:widowControl/>
              <w:spacing w:line="360" w:lineRule="auto"/>
              <w:jc w:val="center"/>
              <w:rPr>
                <w:rFonts w:ascii="Times New Roman" w:hAnsi="Times New Roman" w:eastAsia="等线" w:cs="Times New Roman"/>
                <w:kern w:val="0"/>
                <w:sz w:val="24"/>
                <w:szCs w:val="24"/>
              </w:rPr>
            </w:pPr>
            <w:r>
              <w:rPr>
                <w:rFonts w:ascii="Times New Roman" w:hAnsi="Times New Roman" w:eastAsia="等线" w:cs="Times New Roman"/>
                <w:kern w:val="0"/>
                <w:sz w:val="24"/>
                <w:szCs w:val="24"/>
              </w:rPr>
              <w:t>Trace O</w:t>
            </w:r>
            <w:r>
              <w:rPr>
                <w:rFonts w:ascii="Times New Roman" w:hAnsi="Times New Roman" w:eastAsia="等线" w:cs="Times New Roman"/>
                <w:kern w:val="0"/>
                <w:sz w:val="24"/>
                <w:szCs w:val="24"/>
                <w:vertAlign w:val="subscript"/>
              </w:rPr>
              <w:t>2</w:t>
            </w:r>
            <w:r>
              <w:rPr>
                <w:rFonts w:ascii="Times New Roman" w:hAnsi="Times New Roman" w:eastAsia="等线" w:cs="Times New Roman"/>
                <w:kern w:val="0"/>
                <w:sz w:val="24"/>
                <w:szCs w:val="24"/>
              </w:rPr>
              <w:t>/air; side-stream recirculation</w:t>
            </w:r>
          </w:p>
        </w:tc>
        <w:tc>
          <w:tcPr>
            <w:tcW w:w="1573" w:type="pct"/>
            <w:tcBorders>
              <w:top w:val="single" w:color="auto" w:sz="8" w:space="0"/>
            </w:tcBorders>
            <w:vAlign w:val="center"/>
          </w:tcPr>
          <w:p w14:paraId="0510BF72">
            <w:pPr>
              <w:widowControl/>
              <w:spacing w:line="360" w:lineRule="auto"/>
              <w:jc w:val="center"/>
              <w:rPr>
                <w:rFonts w:ascii="Times New Roman" w:hAnsi="Times New Roman" w:eastAsia="等线" w:cs="Times New Roman"/>
                <w:kern w:val="0"/>
                <w:sz w:val="24"/>
                <w:szCs w:val="24"/>
              </w:rPr>
            </w:pPr>
            <w:r>
              <w:rPr>
                <w:rFonts w:ascii="Times New Roman" w:hAnsi="Times New Roman" w:eastAsia="等线" w:cs="Times New Roman"/>
                <w:kern w:val="0"/>
                <w:sz w:val="24"/>
                <w:szCs w:val="24"/>
              </w:rPr>
              <w:t>Aeration and recirculation pumping energy; potential reduction in net energy recovery due to methane loss</w:t>
            </w:r>
          </w:p>
        </w:tc>
        <w:tc>
          <w:tcPr>
            <w:tcW w:w="1531" w:type="pct"/>
            <w:tcBorders>
              <w:top w:val="single" w:color="auto" w:sz="8" w:space="0"/>
            </w:tcBorders>
            <w:vAlign w:val="center"/>
          </w:tcPr>
          <w:p w14:paraId="6E8D2166">
            <w:pPr>
              <w:widowControl/>
              <w:spacing w:line="360" w:lineRule="auto"/>
              <w:jc w:val="center"/>
              <w:rPr>
                <w:rFonts w:ascii="Times New Roman" w:hAnsi="Times New Roman" w:eastAsia="等线" w:cs="Times New Roman"/>
                <w:kern w:val="0"/>
                <w:sz w:val="24"/>
                <w:szCs w:val="24"/>
              </w:rPr>
            </w:pPr>
            <w:r>
              <w:rPr>
                <w:rFonts w:ascii="Times New Roman" w:hAnsi="Times New Roman" w:eastAsia="等线" w:cs="Times New Roman"/>
                <w:kern w:val="0"/>
                <w:sz w:val="24"/>
                <w:szCs w:val="24"/>
              </w:rPr>
              <w:t>Requires validation in continuous-flow systems; potential risks associated with oxygen carryover, N</w:t>
            </w:r>
            <w:r>
              <w:rPr>
                <w:rFonts w:ascii="Times New Roman" w:hAnsi="Times New Roman" w:eastAsia="等线" w:cs="Times New Roman"/>
                <w:kern w:val="0"/>
                <w:sz w:val="24"/>
                <w:szCs w:val="24"/>
                <w:vertAlign w:val="subscript"/>
              </w:rPr>
              <w:t>2</w:t>
            </w:r>
            <w:r>
              <w:rPr>
                <w:rFonts w:ascii="Times New Roman" w:hAnsi="Times New Roman" w:eastAsia="等线" w:cs="Times New Roman"/>
                <w:kern w:val="0"/>
                <w:sz w:val="24"/>
                <w:szCs w:val="24"/>
              </w:rPr>
              <w:t>O emissions, and EPS accumulation</w:t>
            </w:r>
          </w:p>
        </w:tc>
      </w:tr>
      <w:tr w14:paraId="66A22AA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21" w:hRule="atLeast"/>
        </w:trPr>
        <w:tc>
          <w:tcPr>
            <w:tcW w:w="795" w:type="pct"/>
            <w:vAlign w:val="center"/>
          </w:tcPr>
          <w:p w14:paraId="40AD6E59">
            <w:pPr>
              <w:widowControl/>
              <w:spacing w:line="360" w:lineRule="auto"/>
              <w:jc w:val="center"/>
              <w:rPr>
                <w:rFonts w:ascii="Times New Roman" w:hAnsi="Times New Roman" w:eastAsia="等线" w:cs="Times New Roman"/>
                <w:kern w:val="0"/>
                <w:sz w:val="24"/>
                <w:szCs w:val="24"/>
              </w:rPr>
            </w:pPr>
            <w:r>
              <w:rPr>
                <w:rFonts w:ascii="Times New Roman" w:hAnsi="Times New Roman" w:eastAsia="等线" w:cs="Times New Roman"/>
                <w:kern w:val="0"/>
                <w:sz w:val="24"/>
                <w:szCs w:val="24"/>
              </w:rPr>
              <w:t>Dilution</w:t>
            </w:r>
          </w:p>
        </w:tc>
        <w:tc>
          <w:tcPr>
            <w:tcW w:w="1100" w:type="pct"/>
            <w:vAlign w:val="center"/>
          </w:tcPr>
          <w:p w14:paraId="586F1A68">
            <w:pPr>
              <w:widowControl/>
              <w:spacing w:line="360" w:lineRule="auto"/>
              <w:jc w:val="center"/>
              <w:rPr>
                <w:rFonts w:ascii="Times New Roman" w:hAnsi="Times New Roman" w:eastAsia="等线" w:cs="Times New Roman"/>
                <w:kern w:val="0"/>
                <w:sz w:val="24"/>
                <w:szCs w:val="24"/>
              </w:rPr>
            </w:pPr>
            <w:r>
              <w:rPr>
                <w:rFonts w:ascii="Times New Roman" w:hAnsi="Times New Roman" w:eastAsia="等线" w:cs="Times New Roman"/>
                <w:kern w:val="0"/>
                <w:sz w:val="24"/>
                <w:szCs w:val="24"/>
              </w:rPr>
              <w:t>Large volumes of dilution water or low-nitrogen liquid</w:t>
            </w:r>
          </w:p>
        </w:tc>
        <w:tc>
          <w:tcPr>
            <w:tcW w:w="1573" w:type="pct"/>
            <w:vAlign w:val="center"/>
          </w:tcPr>
          <w:p w14:paraId="3954EBF6">
            <w:pPr>
              <w:widowControl/>
              <w:spacing w:line="360" w:lineRule="auto"/>
              <w:jc w:val="center"/>
              <w:rPr>
                <w:rFonts w:ascii="Times New Roman" w:hAnsi="Times New Roman" w:eastAsia="等线" w:cs="Times New Roman"/>
                <w:kern w:val="0"/>
                <w:sz w:val="24"/>
                <w:szCs w:val="24"/>
              </w:rPr>
            </w:pPr>
            <w:r>
              <w:rPr>
                <w:rFonts w:ascii="Times New Roman" w:hAnsi="Times New Roman" w:eastAsia="等线" w:cs="Times New Roman"/>
                <w:kern w:val="0"/>
                <w:sz w:val="24"/>
                <w:szCs w:val="24"/>
              </w:rPr>
              <w:t>Increased treatment volume and downstream hydraulic load</w:t>
            </w:r>
          </w:p>
        </w:tc>
        <w:tc>
          <w:tcPr>
            <w:tcW w:w="1531" w:type="pct"/>
            <w:vAlign w:val="center"/>
          </w:tcPr>
          <w:p w14:paraId="09ED1097">
            <w:pPr>
              <w:widowControl/>
              <w:spacing w:line="360" w:lineRule="auto"/>
              <w:jc w:val="center"/>
              <w:rPr>
                <w:rFonts w:ascii="Times New Roman" w:hAnsi="Times New Roman" w:eastAsia="等线" w:cs="Times New Roman"/>
                <w:kern w:val="0"/>
                <w:sz w:val="24"/>
                <w:szCs w:val="24"/>
              </w:rPr>
            </w:pPr>
            <w:r>
              <w:rPr>
                <w:rFonts w:ascii="Times New Roman" w:hAnsi="Times New Roman" w:eastAsia="等线" w:cs="Times New Roman"/>
                <w:kern w:val="0"/>
                <w:sz w:val="24"/>
                <w:szCs w:val="24"/>
              </w:rPr>
              <w:t>Reduces ammonia concentration without removing nitrogen</w:t>
            </w:r>
          </w:p>
        </w:tc>
      </w:tr>
      <w:tr w14:paraId="6AC061B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38" w:hRule="atLeast"/>
        </w:trPr>
        <w:tc>
          <w:tcPr>
            <w:tcW w:w="795" w:type="pct"/>
            <w:vAlign w:val="center"/>
          </w:tcPr>
          <w:p w14:paraId="764A17AF">
            <w:pPr>
              <w:widowControl/>
              <w:spacing w:line="360" w:lineRule="auto"/>
              <w:jc w:val="center"/>
              <w:rPr>
                <w:rFonts w:ascii="Times New Roman" w:hAnsi="Times New Roman" w:eastAsia="等线" w:cs="Times New Roman"/>
                <w:kern w:val="0"/>
                <w:sz w:val="24"/>
                <w:szCs w:val="24"/>
              </w:rPr>
            </w:pPr>
            <w:r>
              <w:rPr>
                <w:rFonts w:ascii="Times New Roman" w:hAnsi="Times New Roman" w:eastAsia="等线" w:cs="Times New Roman"/>
                <w:kern w:val="0"/>
                <w:sz w:val="24"/>
                <w:szCs w:val="24"/>
              </w:rPr>
              <w:t>Co-digestion</w:t>
            </w:r>
          </w:p>
        </w:tc>
        <w:tc>
          <w:tcPr>
            <w:tcW w:w="1100" w:type="pct"/>
            <w:vAlign w:val="center"/>
          </w:tcPr>
          <w:p w14:paraId="137B936E">
            <w:pPr>
              <w:widowControl/>
              <w:spacing w:line="360" w:lineRule="auto"/>
              <w:jc w:val="center"/>
              <w:rPr>
                <w:rFonts w:ascii="Times New Roman" w:hAnsi="Times New Roman" w:eastAsia="等线" w:cs="Times New Roman"/>
                <w:kern w:val="0"/>
                <w:sz w:val="24"/>
                <w:szCs w:val="24"/>
              </w:rPr>
            </w:pPr>
            <w:r>
              <w:rPr>
                <w:rFonts w:ascii="Times New Roman" w:hAnsi="Times New Roman" w:eastAsia="等线" w:cs="Times New Roman"/>
                <w:kern w:val="0"/>
                <w:sz w:val="24"/>
                <w:szCs w:val="24"/>
              </w:rPr>
              <w:t>Low-nitrogen/high-carbon co-substrates</w:t>
            </w:r>
          </w:p>
        </w:tc>
        <w:tc>
          <w:tcPr>
            <w:tcW w:w="1573" w:type="pct"/>
            <w:vAlign w:val="center"/>
          </w:tcPr>
          <w:p w14:paraId="06D3AA5F">
            <w:pPr>
              <w:widowControl/>
              <w:spacing w:line="360" w:lineRule="auto"/>
              <w:jc w:val="center"/>
              <w:rPr>
                <w:rFonts w:ascii="Times New Roman" w:hAnsi="Times New Roman" w:eastAsia="等线" w:cs="Times New Roman"/>
                <w:kern w:val="0"/>
                <w:sz w:val="24"/>
                <w:szCs w:val="24"/>
              </w:rPr>
            </w:pPr>
            <w:r>
              <w:rPr>
                <w:rFonts w:ascii="Times New Roman" w:hAnsi="Times New Roman" w:eastAsia="等线" w:cs="Times New Roman"/>
                <w:kern w:val="0"/>
                <w:sz w:val="24"/>
                <w:szCs w:val="24"/>
              </w:rPr>
              <w:t>Feedstock acquisition, transportation, storage, and C/N adjustment</w:t>
            </w:r>
          </w:p>
        </w:tc>
        <w:tc>
          <w:tcPr>
            <w:tcW w:w="1531" w:type="pct"/>
            <w:vAlign w:val="center"/>
          </w:tcPr>
          <w:p w14:paraId="013BB5F6">
            <w:pPr>
              <w:widowControl/>
              <w:spacing w:line="360" w:lineRule="auto"/>
              <w:jc w:val="center"/>
              <w:rPr>
                <w:rFonts w:ascii="Times New Roman" w:hAnsi="Times New Roman" w:eastAsia="等线" w:cs="Times New Roman"/>
                <w:kern w:val="0"/>
                <w:sz w:val="24"/>
                <w:szCs w:val="24"/>
              </w:rPr>
            </w:pPr>
            <w:r>
              <w:rPr>
                <w:rFonts w:ascii="Times New Roman" w:hAnsi="Times New Roman" w:eastAsia="等线" w:cs="Times New Roman"/>
                <w:kern w:val="0"/>
                <w:sz w:val="24"/>
                <w:szCs w:val="24"/>
              </w:rPr>
              <w:t>Depends on co-substrate availability and may increase organic loading</w:t>
            </w:r>
          </w:p>
        </w:tc>
      </w:tr>
      <w:tr w14:paraId="302A851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89" w:hRule="atLeast"/>
        </w:trPr>
        <w:tc>
          <w:tcPr>
            <w:tcW w:w="795" w:type="pct"/>
            <w:vAlign w:val="center"/>
          </w:tcPr>
          <w:p w14:paraId="717201B9">
            <w:pPr>
              <w:widowControl/>
              <w:spacing w:line="360" w:lineRule="auto"/>
              <w:jc w:val="center"/>
              <w:rPr>
                <w:rFonts w:ascii="Times New Roman" w:hAnsi="Times New Roman" w:eastAsia="等线" w:cs="Times New Roman"/>
                <w:kern w:val="0"/>
                <w:sz w:val="24"/>
                <w:szCs w:val="24"/>
              </w:rPr>
            </w:pPr>
            <w:r>
              <w:rPr>
                <w:rFonts w:ascii="Times New Roman" w:hAnsi="Times New Roman" w:eastAsia="等线" w:cs="Times New Roman"/>
                <w:kern w:val="0"/>
                <w:sz w:val="24"/>
                <w:szCs w:val="24"/>
              </w:rPr>
              <w:t>Ammonia stripping</w:t>
            </w:r>
          </w:p>
        </w:tc>
        <w:tc>
          <w:tcPr>
            <w:tcW w:w="1100" w:type="pct"/>
            <w:vAlign w:val="center"/>
          </w:tcPr>
          <w:p w14:paraId="3DB903C1">
            <w:pPr>
              <w:widowControl/>
              <w:spacing w:line="360" w:lineRule="auto"/>
              <w:jc w:val="center"/>
              <w:rPr>
                <w:rFonts w:ascii="Times New Roman" w:hAnsi="Times New Roman" w:eastAsia="等线" w:cs="Times New Roman"/>
                <w:kern w:val="0"/>
                <w:sz w:val="24"/>
                <w:szCs w:val="24"/>
              </w:rPr>
            </w:pPr>
            <w:r>
              <w:rPr>
                <w:rFonts w:ascii="Times New Roman" w:hAnsi="Times New Roman" w:eastAsia="等线" w:cs="Times New Roman"/>
                <w:kern w:val="0"/>
                <w:sz w:val="24"/>
                <w:szCs w:val="24"/>
              </w:rPr>
              <w:t>Alkali and acid absorbent</w:t>
            </w:r>
          </w:p>
        </w:tc>
        <w:tc>
          <w:tcPr>
            <w:tcW w:w="1573" w:type="pct"/>
            <w:vAlign w:val="center"/>
          </w:tcPr>
          <w:p w14:paraId="7DD1CC2A">
            <w:pPr>
              <w:widowControl/>
              <w:spacing w:line="360" w:lineRule="auto"/>
              <w:jc w:val="center"/>
              <w:rPr>
                <w:rFonts w:ascii="Times New Roman" w:hAnsi="Times New Roman" w:eastAsia="等线" w:cs="Times New Roman"/>
                <w:kern w:val="0"/>
                <w:sz w:val="24"/>
                <w:szCs w:val="24"/>
              </w:rPr>
            </w:pPr>
            <w:r>
              <w:rPr>
                <w:rFonts w:ascii="Times New Roman" w:hAnsi="Times New Roman" w:eastAsia="等线" w:cs="Times New Roman"/>
                <w:kern w:val="0"/>
                <w:sz w:val="24"/>
                <w:szCs w:val="24"/>
              </w:rPr>
              <w:t>pH adjustment, heating/aeration, and absorption/recovery units</w:t>
            </w:r>
          </w:p>
        </w:tc>
        <w:tc>
          <w:tcPr>
            <w:tcW w:w="1531" w:type="pct"/>
            <w:vAlign w:val="center"/>
          </w:tcPr>
          <w:p w14:paraId="74926B47">
            <w:pPr>
              <w:widowControl/>
              <w:spacing w:line="360" w:lineRule="auto"/>
              <w:jc w:val="center"/>
              <w:rPr>
                <w:rFonts w:ascii="Times New Roman" w:hAnsi="Times New Roman" w:eastAsia="等线" w:cs="Times New Roman"/>
                <w:kern w:val="0"/>
                <w:sz w:val="24"/>
                <w:szCs w:val="24"/>
              </w:rPr>
            </w:pPr>
            <w:r>
              <w:rPr>
                <w:rFonts w:ascii="Times New Roman" w:hAnsi="Times New Roman" w:eastAsia="等线" w:cs="Times New Roman"/>
                <w:kern w:val="0"/>
                <w:sz w:val="24"/>
                <w:szCs w:val="24"/>
              </w:rPr>
              <w:t>Process complexity and relatively high chemical and energy demands</w:t>
            </w:r>
          </w:p>
        </w:tc>
      </w:tr>
    </w:tbl>
    <w:p w14:paraId="1CC2991D">
      <w:pPr>
        <w:widowControl/>
        <w:jc w:val="left"/>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br w:type="page"/>
      </w:r>
    </w:p>
    <w:p w14:paraId="36651049">
      <w:pPr>
        <w:autoSpaceDE w:val="0"/>
        <w:autoSpaceDN w:val="0"/>
        <w:spacing w:line="360"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drawing>
          <wp:inline distT="0" distB="0" distL="0" distR="0">
            <wp:extent cx="2879725" cy="2040890"/>
            <wp:effectExtent l="0" t="0" r="0" b="0"/>
            <wp:docPr id="1892830760" name="图片 1"/>
            <wp:cNvGraphicFramePr/>
            <a:graphic xmlns:a="http://schemas.openxmlformats.org/drawingml/2006/main">
              <a:graphicData uri="http://schemas.openxmlformats.org/drawingml/2006/picture">
                <pic:pic xmlns:pic="http://schemas.openxmlformats.org/drawingml/2006/picture">
                  <pic:nvPicPr>
                    <pic:cNvPr id="1892830760" name="图片 1"/>
                    <pic:cNvPicPr/>
                  </pic:nvPicPr>
                  <pic:blipFill>
                    <a:blip r:embed="rId9"/>
                    <a:stretch>
                      <a:fillRect/>
                    </a:stretch>
                  </pic:blipFill>
                  <pic:spPr>
                    <a:xfrm>
                      <a:off x="0" y="0"/>
                      <a:ext cx="2880000" cy="2041200"/>
                    </a:xfrm>
                    <a:prstGeom prst="rect">
                      <a:avLst/>
                    </a:prstGeom>
                  </pic:spPr>
                </pic:pic>
              </a:graphicData>
            </a:graphic>
          </wp:inline>
        </w:drawing>
      </w:r>
      <w:r>
        <w:rPr>
          <w:rFonts w:ascii="Times New Roman" w:hAnsi="Times New Roman" w:eastAsia="宋体" w:cs="Times New Roman"/>
          <w:color w:val="000000"/>
          <w:sz w:val="24"/>
          <w:szCs w:val="24"/>
        </w:rPr>
        <w:drawing>
          <wp:inline distT="0" distB="0" distL="0" distR="0">
            <wp:extent cx="2879725" cy="2041525"/>
            <wp:effectExtent l="0" t="0" r="0" b="0"/>
            <wp:docPr id="186456788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567888" name="图片 2"/>
                    <pic:cNvPicPr>
                      <a:picLocks noChangeAspect="1"/>
                    </pic:cNvPicPr>
                  </pic:nvPicPr>
                  <pic:blipFill>
                    <a:blip r:embed="rId10"/>
                    <a:stretch>
                      <a:fillRect/>
                    </a:stretch>
                  </pic:blipFill>
                  <pic:spPr>
                    <a:xfrm>
                      <a:off x="0" y="0"/>
                      <a:ext cx="2880000" cy="2041791"/>
                    </a:xfrm>
                    <a:prstGeom prst="rect">
                      <a:avLst/>
                    </a:prstGeom>
                  </pic:spPr>
                </pic:pic>
              </a:graphicData>
            </a:graphic>
          </wp:inline>
        </w:drawing>
      </w:r>
    </w:p>
    <w:p w14:paraId="5E2E8A9F">
      <w:pPr>
        <w:widowControl/>
        <w:spacing w:line="480" w:lineRule="auto"/>
        <w:jc w:val="left"/>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 xml:space="preserve">Supplementary Figure 1. Performance of the micro-aeration process treating actual high-ammonia digestate. Temporal profiles of TAN and COD during the </w:t>
      </w:r>
      <w:bookmarkStart w:id="11" w:name="OLE_LINK29"/>
      <w:r>
        <w:rPr>
          <w:rFonts w:ascii="Times New Roman" w:hAnsi="Times New Roman" w:eastAsia="宋体" w:cs="Times New Roman"/>
          <w:color w:val="000000"/>
          <w:sz w:val="24"/>
          <w:szCs w:val="24"/>
        </w:rPr>
        <w:t>50-day</w:t>
      </w:r>
      <w:bookmarkEnd w:id="11"/>
      <w:r>
        <w:rPr>
          <w:rFonts w:ascii="Times New Roman" w:hAnsi="Times New Roman" w:eastAsia="宋体" w:cs="Times New Roman"/>
          <w:color w:val="000000"/>
          <w:sz w:val="24"/>
          <w:szCs w:val="24"/>
        </w:rPr>
        <w:t xml:space="preserve"> verification experiment. Data are mean ± s.d. from three independent replicates (</w:t>
      </w:r>
      <w:r>
        <w:rPr>
          <w:rFonts w:ascii="Times New Roman" w:hAnsi="Times New Roman" w:eastAsia="宋体" w:cs="Times New Roman"/>
          <w:i/>
          <w:iCs/>
          <w:color w:val="000000"/>
          <w:sz w:val="24"/>
          <w:szCs w:val="24"/>
        </w:rPr>
        <w:t>n</w:t>
      </w:r>
      <w:r>
        <w:rPr>
          <w:rFonts w:ascii="Times New Roman" w:hAnsi="Times New Roman" w:eastAsia="宋体" w:cs="Times New Roman"/>
          <w:color w:val="000000"/>
          <w:sz w:val="24"/>
          <w:szCs w:val="24"/>
        </w:rPr>
        <w:t xml:space="preserve"> = 3).</w:t>
      </w:r>
      <w:r>
        <w:rPr>
          <w:rFonts w:ascii="Times New Roman" w:hAnsi="Times New Roman" w:eastAsia="宋体" w:cs="Times New Roman"/>
          <w:sz w:val="24"/>
          <w:szCs w:val="28"/>
        </w:rPr>
        <w:br w:type="page"/>
      </w:r>
    </w:p>
    <w:p w14:paraId="3A88E841">
      <w:pPr>
        <w:spacing w:line="360" w:lineRule="auto"/>
        <w:jc w:val="center"/>
        <w:rPr>
          <w:rFonts w:ascii="Times New Roman" w:hAnsi="Times New Roman" w:eastAsia="宋体" w:cs="Times New Roman"/>
          <w:sz w:val="24"/>
          <w:szCs w:val="28"/>
        </w:rPr>
      </w:pPr>
      <w:r>
        <w:rPr>
          <w:rFonts w:ascii="Times New Roman" w:hAnsi="Times New Roman" w:eastAsia="宋体" w:cs="Times New Roman"/>
          <w:sz w:val="24"/>
          <w:szCs w:val="28"/>
        </w:rPr>
        <w:drawing>
          <wp:inline distT="0" distB="0" distL="0" distR="0">
            <wp:extent cx="5706110" cy="5109845"/>
            <wp:effectExtent l="0" t="0" r="8890" b="0"/>
            <wp:docPr id="16818322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832289" name="图片 1"/>
                    <pic:cNvPicPr>
                      <a:picLocks noChangeAspect="1"/>
                    </pic:cNvPicPr>
                  </pic:nvPicPr>
                  <pic:blipFill>
                    <a:blip r:embed="rId11"/>
                    <a:srcRect r="6762"/>
                    <a:stretch>
                      <a:fillRect/>
                    </a:stretch>
                  </pic:blipFill>
                  <pic:spPr>
                    <a:xfrm>
                      <a:off x="0" y="0"/>
                      <a:ext cx="5706319" cy="5109845"/>
                    </a:xfrm>
                    <a:prstGeom prst="rect">
                      <a:avLst/>
                    </a:prstGeom>
                    <a:ln>
                      <a:noFill/>
                    </a:ln>
                  </pic:spPr>
                </pic:pic>
              </a:graphicData>
            </a:graphic>
          </wp:inline>
        </w:drawing>
      </w:r>
    </w:p>
    <w:p w14:paraId="3142CE12">
      <w:pPr>
        <w:spacing w:line="480" w:lineRule="auto"/>
        <w:jc w:val="left"/>
        <w:rPr>
          <w:rFonts w:ascii="Times New Roman" w:hAnsi="Times New Roman" w:eastAsia="宋体" w:cs="Times New Roman"/>
          <w:sz w:val="24"/>
          <w:szCs w:val="28"/>
        </w:rPr>
      </w:pPr>
      <w:r>
        <w:rPr>
          <w:rFonts w:ascii="Times New Roman" w:hAnsi="Times New Roman" w:eastAsia="宋体" w:cs="Times New Roman"/>
          <w:sz w:val="24"/>
          <w:szCs w:val="28"/>
        </w:rPr>
        <w:t>Supplementary Figure 2. DFT analysis of intermolecular interactions between tryptophan molecules. Tryptophan was selected as a model aromatic amino acid residue to evaluate potential intermolecular interactions relevant to extracellular proteins. Among the modeled configurations, the carboxyl–carboxyl association exhibited the most favorable interaction energy (−26.09 kcal mol</w:t>
      </w:r>
      <w:r>
        <w:rPr>
          <w:rFonts w:ascii="Times New Roman" w:hAnsi="Times New Roman" w:eastAsia="宋体" w:cs="Times New Roman"/>
          <w:sz w:val="24"/>
          <w:szCs w:val="28"/>
          <w:vertAlign w:val="superscript"/>
        </w:rPr>
        <w:t>-1</w:t>
      </w:r>
      <w:r>
        <w:rPr>
          <w:rFonts w:ascii="Times New Roman" w:hAnsi="Times New Roman" w:eastAsia="宋体" w:cs="Times New Roman"/>
          <w:sz w:val="24"/>
          <w:szCs w:val="28"/>
        </w:rPr>
        <w:t>), indicating favorable intermolecular association under the modeled conditions. The corresponding frontier-orbital energy gap was 3.40 eV, providing additional information on the electronic characteristics of this configuration. These results demonstrate the potential of tryptophan molecules to form energetically favorable intermolecular associations and provide molecular-level support for possible protein-mediated interactions within EPS matrices. Atom colors are as follows: gray, carbon; red, oxygen; white, hydrogen; and blue, nitrogen.</w:t>
      </w:r>
      <w:r>
        <w:rPr>
          <w:rFonts w:ascii="Times New Roman" w:hAnsi="Times New Roman" w:eastAsia="宋体" w:cs="Times New Roman"/>
          <w:sz w:val="24"/>
          <w:szCs w:val="28"/>
        </w:rPr>
        <w:br w:type="page"/>
      </w:r>
    </w:p>
    <w:p w14:paraId="6AE854D0">
      <w:pPr>
        <w:spacing w:line="360" w:lineRule="auto"/>
        <w:ind w:firstLine="420" w:firstLineChars="200"/>
        <w:jc w:val="center"/>
        <w:rPr>
          <w:rFonts w:ascii="Times New Roman" w:hAnsi="Times New Roman" w:eastAsia="宋体" w:cs="Times New Roman"/>
        </w:rPr>
      </w:pPr>
      <w:r>
        <w:rPr>
          <w:rFonts w:ascii="Times New Roman" w:hAnsi="Times New Roman" w:eastAsia="宋体" w:cs="Times New Roman"/>
        </w:rPr>
        <w:drawing>
          <wp:inline distT="0" distB="0" distL="0" distR="0">
            <wp:extent cx="5039995" cy="5306695"/>
            <wp:effectExtent l="0" t="0" r="8255" b="8255"/>
            <wp:docPr id="2690142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014283"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040000" cy="5306886"/>
                    </a:xfrm>
                    <a:prstGeom prst="rect">
                      <a:avLst/>
                    </a:prstGeom>
                    <a:noFill/>
                    <a:ln>
                      <a:noFill/>
                    </a:ln>
                  </pic:spPr>
                </pic:pic>
              </a:graphicData>
            </a:graphic>
          </wp:inline>
        </w:drawing>
      </w:r>
    </w:p>
    <w:p w14:paraId="2A8189E7">
      <w:pPr>
        <w:spacing w:line="480" w:lineRule="auto"/>
        <w:jc w:val="left"/>
        <w:rPr>
          <w:rFonts w:ascii="Times New Roman" w:hAnsi="Times New Roman" w:eastAsia="宋体" w:cs="Times New Roman"/>
          <w:color w:val="000000" w:themeColor="text1"/>
          <w:sz w:val="24"/>
          <w:szCs w:val="28"/>
          <w14:textFill>
            <w14:solidFill>
              <w14:schemeClr w14:val="tx1"/>
            </w14:solidFill>
          </w14:textFill>
        </w:rPr>
      </w:pPr>
      <w:bookmarkStart w:id="12" w:name="OLE_LINK8"/>
      <w:r>
        <w:rPr>
          <w:rFonts w:ascii="Times New Roman" w:hAnsi="Times New Roman" w:eastAsia="宋体" w:cs="Times New Roman"/>
          <w:color w:val="000000" w:themeColor="text1"/>
          <w:sz w:val="24"/>
          <w:szCs w:val="28"/>
          <w14:textFill>
            <w14:solidFill>
              <w14:schemeClr w14:val="tx1"/>
            </w14:solidFill>
          </w14:textFill>
        </w:rPr>
        <w:t>Supplementary Figure 3. Quality-control metrics of the metaproteomic dataset. (a) Mass-error distribution of identified peptides. Deviations were centered near 0 ppm, with most peptides falling within ±10 ppm, confirming the high mass accuracy of the LC-MS/MS system. (b) Distribution of protein-sequence coverage. (c) Frequency distribution of unique peptides per protein group, following a typical power-law pattern. (d) Peptide-length distribution. The distribution was bell-shaped and peaked at 10–15 amino acids, consistent with the expected tryptic cleavage pattern. (e) Molecular-weight distribution of identified proteins. (f) Summary statistics of the identification workflow, listing the total numbers of precursor ions, identified spectra, peptides, and protein groups.</w:t>
      </w:r>
      <w:bookmarkEnd w:id="12"/>
      <w:r>
        <w:rPr>
          <w:rFonts w:ascii="Times New Roman" w:hAnsi="Times New Roman" w:eastAsia="宋体" w:cs="Times New Roman"/>
          <w:b/>
          <w:color w:val="000000" w:themeColor="text1"/>
          <w:sz w:val="24"/>
          <w:szCs w:val="28"/>
          <w14:textFill>
            <w14:solidFill>
              <w14:schemeClr w14:val="tx1"/>
            </w14:solidFill>
          </w14:textFill>
        </w:rPr>
        <w:br w:type="page"/>
      </w:r>
    </w:p>
    <w:p w14:paraId="46941ABD">
      <w:pPr>
        <w:spacing w:line="480" w:lineRule="auto"/>
        <w:jc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drawing>
          <wp:inline distT="0" distB="0" distL="0" distR="0">
            <wp:extent cx="5039995" cy="4003040"/>
            <wp:effectExtent l="0" t="0" r="8255" b="0"/>
            <wp:docPr id="11704167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416721" name="图片 3"/>
                    <pic:cNvPicPr>
                      <a:picLocks noChangeAspect="1"/>
                    </pic:cNvPicPr>
                  </pic:nvPicPr>
                  <pic:blipFill>
                    <a:blip r:embed="rId13"/>
                    <a:stretch>
                      <a:fillRect/>
                    </a:stretch>
                  </pic:blipFill>
                  <pic:spPr>
                    <a:xfrm>
                      <a:off x="0" y="0"/>
                      <a:ext cx="5040000" cy="4003200"/>
                    </a:xfrm>
                    <a:prstGeom prst="rect">
                      <a:avLst/>
                    </a:prstGeom>
                  </pic:spPr>
                </pic:pic>
              </a:graphicData>
            </a:graphic>
          </wp:inline>
        </w:drawing>
      </w:r>
    </w:p>
    <w:p w14:paraId="3AD2AADD">
      <w:pPr>
        <w:spacing w:line="480" w:lineRule="auto"/>
        <w:jc w:val="left"/>
        <w:rPr>
          <w:rFonts w:ascii="Times New Roman" w:hAnsi="Times New Roman" w:eastAsia="宋体" w:cs="Times New Roman"/>
          <w:color w:val="000000" w:themeColor="text1"/>
          <w:sz w:val="24"/>
          <w:szCs w:val="24"/>
          <w14:textFill>
            <w14:solidFill>
              <w14:schemeClr w14:val="tx1"/>
            </w14:solidFill>
          </w14:textFill>
        </w:rPr>
      </w:pPr>
      <w:bookmarkStart w:id="13" w:name="OLE_LINK9"/>
      <w:r>
        <w:rPr>
          <w:rFonts w:ascii="Times New Roman" w:hAnsi="Times New Roman" w:eastAsia="宋体" w:cs="Times New Roman"/>
          <w:color w:val="000000" w:themeColor="text1"/>
          <w:sz w:val="24"/>
          <w:szCs w:val="24"/>
          <w14:textFill>
            <w14:solidFill>
              <w14:schemeClr w14:val="tx1"/>
            </w14:solidFill>
          </w14:textFill>
        </w:rPr>
        <w:t>Supplementary Figure 4. Genomic repertoire of nitrogen-metabolism genes in candidate nitrogen-removing MAGs. Twenty-one MAGs were selected as candidate nitrogen-removing populations based on the presence of key nitrogen-cycle genes and the detection of their corresponding proteins. Each circle represents one MAG. Inner colored bubbles indicate the copy numbers of genes associated with nitrification, denitrification, or dissimilatory nitrate reduction to ammonia (DNRA), with bubble size proportional to copy number, ranging from 1 to 5. MAGs encoding hydroxylamine oxidoreductase (</w:t>
      </w:r>
      <w:r>
        <w:rPr>
          <w:rFonts w:ascii="Times New Roman" w:hAnsi="Times New Roman" w:eastAsia="宋体" w:cs="Times New Roman"/>
          <w:i/>
          <w:iCs/>
          <w:color w:val="000000" w:themeColor="text1"/>
          <w:sz w:val="24"/>
          <w:szCs w:val="24"/>
          <w14:textFill>
            <w14:solidFill>
              <w14:schemeClr w14:val="tx1"/>
            </w14:solidFill>
          </w14:textFill>
        </w:rPr>
        <w:t>hao</w:t>
      </w:r>
      <w:r>
        <w:rPr>
          <w:rFonts w:ascii="Times New Roman" w:hAnsi="Times New Roman" w:eastAsia="宋体" w:cs="Times New Roman"/>
          <w:color w:val="000000" w:themeColor="text1"/>
          <w:sz w:val="24"/>
          <w:szCs w:val="24"/>
          <w14:textFill>
            <w14:solidFill>
              <w14:schemeClr w14:val="tx1"/>
            </w14:solidFill>
          </w14:textFill>
        </w:rPr>
        <w:t>), a key marker for ammonia oxidation, are highlighted with a pale-yellow background.</w:t>
      </w:r>
    </w:p>
    <w:bookmarkEnd w:id="13"/>
    <w:p w14:paraId="3EF1B0D5">
      <w:pPr>
        <w:widowControl/>
        <w:jc w:val="left"/>
        <w:rPr>
          <w:rFonts w:ascii="Times New Roman" w:hAnsi="Times New Roman" w:eastAsia="宋体" w:cs="Times New Roman"/>
          <w:sz w:val="24"/>
          <w:szCs w:val="28"/>
        </w:rPr>
      </w:pPr>
      <w:r>
        <w:rPr>
          <w:rFonts w:ascii="Times New Roman" w:hAnsi="Times New Roman" w:eastAsia="宋体" w:cs="Times New Roman"/>
          <w:sz w:val="24"/>
          <w:szCs w:val="28"/>
        </w:rPr>
        <w:br w:type="page"/>
      </w:r>
    </w:p>
    <w:p w14:paraId="5919BF55">
      <w:pPr>
        <w:spacing w:line="360" w:lineRule="auto"/>
        <w:jc w:val="center"/>
        <w:rPr>
          <w:rFonts w:ascii="Times New Roman" w:hAnsi="Times New Roman" w:eastAsia="宋体" w:cs="Times New Roman"/>
          <w:sz w:val="24"/>
          <w:szCs w:val="28"/>
        </w:rPr>
      </w:pPr>
      <w:r>
        <w:rPr>
          <w:rFonts w:ascii="Times New Roman" w:hAnsi="Times New Roman" w:eastAsia="宋体" w:cs="Times New Roman"/>
          <w:sz w:val="24"/>
          <w:szCs w:val="28"/>
        </w:rPr>
        <w:drawing>
          <wp:inline distT="0" distB="0" distL="0" distR="0">
            <wp:extent cx="6120130" cy="2760980"/>
            <wp:effectExtent l="0" t="0" r="0" b="1270"/>
            <wp:docPr id="50361244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12447" name="图片 4"/>
                    <pic:cNvPicPr>
                      <a:picLocks noChangeAspect="1"/>
                    </pic:cNvPicPr>
                  </pic:nvPicPr>
                  <pic:blipFill>
                    <a:blip r:embed="rId14"/>
                    <a:stretch>
                      <a:fillRect/>
                    </a:stretch>
                  </pic:blipFill>
                  <pic:spPr>
                    <a:xfrm>
                      <a:off x="0" y="0"/>
                      <a:ext cx="6120130" cy="2760980"/>
                    </a:xfrm>
                    <a:prstGeom prst="rect">
                      <a:avLst/>
                    </a:prstGeom>
                  </pic:spPr>
                </pic:pic>
              </a:graphicData>
            </a:graphic>
          </wp:inline>
        </w:drawing>
      </w:r>
    </w:p>
    <w:p w14:paraId="5F7B8042">
      <w:pPr>
        <w:spacing w:line="480" w:lineRule="auto"/>
        <w:jc w:val="left"/>
        <w:rPr>
          <w:rFonts w:ascii="Times New Roman" w:hAnsi="Times New Roman" w:eastAsia="宋体" w:cs="Times New Roman"/>
          <w:sz w:val="24"/>
          <w:szCs w:val="28"/>
        </w:rPr>
      </w:pPr>
      <w:bookmarkStart w:id="14" w:name="OLE_LINK10"/>
      <w:r>
        <w:rPr>
          <w:rFonts w:ascii="Times New Roman" w:hAnsi="Times New Roman" w:eastAsia="宋体" w:cs="Times New Roman"/>
          <w:sz w:val="24"/>
          <w:szCs w:val="28"/>
        </w:rPr>
        <w:t xml:space="preserve">Supplementary Figure 5. Differential expression profiles of functional proteins across operational phases. Volcano plots show comparative metaproteomic profiles between the MG and CK groups during (a) Phase II and (b) Phase IV. Horizontal dashed lines indicate the statistical-significance threshold, −lg(adjusted </w:t>
      </w:r>
      <w:r>
        <w:rPr>
          <w:rFonts w:ascii="Times New Roman" w:hAnsi="Times New Roman" w:eastAsia="宋体" w:cs="Times New Roman"/>
          <w:i/>
          <w:iCs/>
          <w:sz w:val="24"/>
          <w:szCs w:val="28"/>
        </w:rPr>
        <w:t>p</w:t>
      </w:r>
      <w:r>
        <w:rPr>
          <w:rFonts w:ascii="Times New Roman" w:hAnsi="Times New Roman" w:eastAsia="宋体" w:cs="Times New Roman"/>
          <w:sz w:val="24"/>
          <w:szCs w:val="28"/>
        </w:rPr>
        <w:t xml:space="preserve"> value) = 1.3, corresponding to adjusted </w:t>
      </w:r>
      <w:r>
        <w:rPr>
          <w:rFonts w:ascii="Times New Roman" w:hAnsi="Times New Roman" w:eastAsia="宋体" w:cs="Times New Roman"/>
          <w:i/>
          <w:iCs/>
          <w:sz w:val="24"/>
          <w:szCs w:val="28"/>
        </w:rPr>
        <w:t>p</w:t>
      </w:r>
      <w:r>
        <w:rPr>
          <w:rFonts w:ascii="Times New Roman" w:hAnsi="Times New Roman" w:eastAsia="宋体" w:cs="Times New Roman"/>
          <w:sz w:val="24"/>
          <w:szCs w:val="28"/>
        </w:rPr>
        <w:t xml:space="preserve"> &lt; 0.05. Vertical dashed lines denote the fold-change threshold, |log</w:t>
      </w:r>
      <w:r>
        <w:rPr>
          <w:rFonts w:ascii="Times New Roman" w:hAnsi="Times New Roman" w:eastAsia="宋体" w:cs="Times New Roman"/>
          <w:sz w:val="24"/>
          <w:szCs w:val="28"/>
          <w:vertAlign w:val="subscript"/>
        </w:rPr>
        <w:t>2</w:t>
      </w:r>
      <w:r>
        <w:rPr>
          <w:rFonts w:ascii="Times New Roman" w:hAnsi="Times New Roman" w:eastAsia="宋体" w:cs="Times New Roman"/>
          <w:sz w:val="24"/>
          <w:szCs w:val="28"/>
        </w:rPr>
        <w:t>FC| = 0.585, corresponding to FC &gt; 1.5 or FC &lt; 0.67. Data points are color-coded according to the log</w:t>
      </w:r>
      <w:r>
        <w:rPr>
          <w:rFonts w:ascii="Times New Roman" w:hAnsi="Times New Roman" w:eastAsia="宋体" w:cs="Times New Roman"/>
          <w:sz w:val="24"/>
          <w:szCs w:val="28"/>
          <w:vertAlign w:val="subscript"/>
        </w:rPr>
        <w:t>2</w:t>
      </w:r>
      <w:r>
        <w:rPr>
          <w:rFonts w:ascii="Times New Roman" w:hAnsi="Times New Roman" w:eastAsia="宋体" w:cs="Times New Roman"/>
          <w:sz w:val="24"/>
          <w:szCs w:val="28"/>
        </w:rPr>
        <w:t xml:space="preserve">FC gradient, with red indicating upregulated proteins and blue indicating downregulated proteins. Point size is proportional to −lg(adjusted </w:t>
      </w:r>
      <w:r>
        <w:rPr>
          <w:rFonts w:ascii="Times New Roman" w:hAnsi="Times New Roman" w:eastAsia="宋体" w:cs="Times New Roman"/>
          <w:i/>
          <w:iCs/>
          <w:sz w:val="24"/>
          <w:szCs w:val="28"/>
        </w:rPr>
        <w:t>p</w:t>
      </w:r>
      <w:r>
        <w:rPr>
          <w:rFonts w:ascii="Times New Roman" w:hAnsi="Times New Roman" w:eastAsia="宋体" w:cs="Times New Roman"/>
          <w:sz w:val="24"/>
          <w:szCs w:val="28"/>
        </w:rPr>
        <w:t xml:space="preserve"> value). Key nitrogen-metabolism enzymes are labeled. Repeated labels for the same enzyme, such as NirS and NosZ, represent distinct protein variants derived from different MAGs that collectively contribute to community-level functions. Proteins associated with the ammonia monooxygenase and particulate methane monooxygenase complexes were absent from the metaproteomic dataset.</w:t>
      </w:r>
      <w:bookmarkEnd w:id="14"/>
    </w:p>
    <w:p w14:paraId="7770128B">
      <w:pPr>
        <w:widowControl/>
        <w:jc w:val="left"/>
        <w:rPr>
          <w:rFonts w:ascii="Times New Roman" w:hAnsi="Times New Roman" w:eastAsia="宋体" w:cs="Times New Roman"/>
          <w:sz w:val="24"/>
          <w:szCs w:val="28"/>
        </w:rPr>
      </w:pPr>
      <w:r>
        <w:rPr>
          <w:rFonts w:ascii="Times New Roman" w:hAnsi="Times New Roman" w:eastAsia="宋体" w:cs="Times New Roman"/>
          <w:sz w:val="24"/>
          <w:szCs w:val="28"/>
        </w:rPr>
        <w:br w:type="page"/>
      </w:r>
    </w:p>
    <w:p w14:paraId="71A74CBF">
      <w:pPr>
        <w:spacing w:line="480" w:lineRule="auto"/>
        <w:jc w:val="left"/>
        <w:rPr>
          <w:rFonts w:ascii="Times New Roman" w:hAnsi="Times New Roman" w:eastAsia="宋体" w:cs="Times New Roman"/>
          <w:sz w:val="24"/>
          <w:szCs w:val="28"/>
        </w:rPr>
      </w:pPr>
      <w:r>
        <w:rPr>
          <w:rFonts w:ascii="Times New Roman" w:hAnsi="Times New Roman" w:eastAsia="宋体" w:cs="Times New Roman"/>
          <w:sz w:val="24"/>
          <w:szCs w:val="28"/>
        </w:rPr>
        <w:drawing>
          <wp:inline distT="0" distB="0" distL="0" distR="0">
            <wp:extent cx="6120130" cy="2136775"/>
            <wp:effectExtent l="0" t="0" r="0" b="0"/>
            <wp:docPr id="21137040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04054" name="图片 1"/>
                    <pic:cNvPicPr>
                      <a:picLocks noChangeAspect="1"/>
                    </pic:cNvPicPr>
                  </pic:nvPicPr>
                  <pic:blipFill>
                    <a:blip r:embed="rId15"/>
                    <a:stretch>
                      <a:fillRect/>
                    </a:stretch>
                  </pic:blipFill>
                  <pic:spPr>
                    <a:xfrm>
                      <a:off x="0" y="0"/>
                      <a:ext cx="6120130" cy="2136775"/>
                    </a:xfrm>
                    <a:prstGeom prst="rect">
                      <a:avLst/>
                    </a:prstGeom>
                  </pic:spPr>
                </pic:pic>
              </a:graphicData>
            </a:graphic>
          </wp:inline>
        </w:drawing>
      </w:r>
    </w:p>
    <w:p w14:paraId="4B4FEE1B">
      <w:pPr>
        <w:spacing w:line="480" w:lineRule="auto"/>
        <w:jc w:val="left"/>
        <w:rPr>
          <w:rFonts w:ascii="Times New Roman" w:hAnsi="Times New Roman" w:eastAsia="宋体" w:cs="Times New Roman"/>
          <w:sz w:val="24"/>
          <w:szCs w:val="28"/>
        </w:rPr>
      </w:pPr>
      <w:bookmarkStart w:id="15" w:name="OLE_LINK31"/>
      <w:r>
        <w:rPr>
          <w:rFonts w:ascii="Times New Roman" w:hAnsi="Times New Roman" w:eastAsia="宋体" w:cs="Times New Roman"/>
          <w:color w:val="000000" w:themeColor="text1"/>
          <w:sz w:val="24"/>
          <w:szCs w:val="28"/>
          <w14:textFill>
            <w14:solidFill>
              <w14:schemeClr w14:val="tx1"/>
            </w14:solidFill>
          </w14:textFill>
        </w:rPr>
        <w:t>Supplementary Figure 6. Community-level metagenomic evidence of nitrogen metabolism genes under micro-aeration.</w:t>
      </w:r>
    </w:p>
    <w:bookmarkEnd w:id="15"/>
    <w:p w14:paraId="39B80515">
      <w:pPr>
        <w:spacing w:line="480" w:lineRule="auto"/>
        <w:jc w:val="left"/>
        <w:rPr>
          <w:rFonts w:ascii="Times New Roman" w:hAnsi="Times New Roman" w:eastAsia="宋体" w:cs="Times New Roman"/>
          <w:sz w:val="24"/>
          <w:szCs w:val="28"/>
        </w:rPr>
      </w:pPr>
      <w:r>
        <w:rPr>
          <w:rFonts w:ascii="Times New Roman" w:hAnsi="Times New Roman" w:eastAsia="宋体" w:cs="Times New Roman"/>
          <w:sz w:val="24"/>
          <w:szCs w:val="28"/>
        </w:rPr>
        <w:br w:type="page"/>
      </w:r>
    </w:p>
    <w:p w14:paraId="63A7D111">
      <w:pPr>
        <w:widowControl/>
        <w:jc w:val="center"/>
        <w:rPr>
          <w:rFonts w:ascii="Times New Roman" w:hAnsi="Times New Roman" w:eastAsia="宋体" w:cs="Times New Roman"/>
          <w:sz w:val="24"/>
          <w:szCs w:val="28"/>
        </w:rPr>
      </w:pPr>
      <w:r>
        <w:rPr>
          <w:rFonts w:ascii="Times New Roman" w:hAnsi="Times New Roman" w:eastAsia="宋体" w:cs="Times New Roman"/>
          <w:sz w:val="24"/>
          <w:szCs w:val="28"/>
        </w:rPr>
        <w:drawing>
          <wp:inline distT="0" distB="0" distL="0" distR="0">
            <wp:extent cx="5759450" cy="4180205"/>
            <wp:effectExtent l="0" t="0" r="0" b="0"/>
            <wp:docPr id="12202649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64996" name="图片 1"/>
                    <pic:cNvPicPr>
                      <a:picLocks noChangeAspect="1" noChangeArrowheads="1"/>
                    </pic:cNvPicPr>
                  </pic:nvPicPr>
                  <pic:blipFill>
                    <a:blip r:embed="rId16"/>
                    <a:stretch>
                      <a:fillRect/>
                    </a:stretch>
                  </pic:blipFill>
                  <pic:spPr>
                    <a:xfrm>
                      <a:off x="0" y="0"/>
                      <a:ext cx="5760000" cy="4180604"/>
                    </a:xfrm>
                    <a:prstGeom prst="rect">
                      <a:avLst/>
                    </a:prstGeom>
                    <a:noFill/>
                    <a:ln>
                      <a:noFill/>
                    </a:ln>
                  </pic:spPr>
                </pic:pic>
              </a:graphicData>
            </a:graphic>
          </wp:inline>
        </w:drawing>
      </w:r>
    </w:p>
    <w:p w14:paraId="709C8F90">
      <w:pPr>
        <w:spacing w:line="480" w:lineRule="auto"/>
        <w:jc w:val="left"/>
        <w:rPr>
          <w:rFonts w:ascii="Times New Roman" w:hAnsi="Times New Roman" w:eastAsia="宋体" w:cs="Times New Roman"/>
          <w:sz w:val="24"/>
          <w:szCs w:val="28"/>
        </w:rPr>
      </w:pPr>
      <w:bookmarkStart w:id="16" w:name="OLE_LINK4"/>
      <w:r>
        <w:rPr>
          <w:rFonts w:ascii="Times New Roman" w:hAnsi="Times New Roman" w:eastAsia="宋体" w:cs="Times New Roman"/>
          <w:sz w:val="24"/>
          <w:szCs w:val="28"/>
        </w:rPr>
        <w:t xml:space="preserve">Supplementary Figure 7. </w:t>
      </w:r>
      <w:bookmarkEnd w:id="16"/>
      <w:r>
        <w:rPr>
          <w:rFonts w:ascii="Times New Roman" w:hAnsi="Times New Roman" w:eastAsia="宋体" w:cs="Times New Roman"/>
          <w:sz w:val="24"/>
          <w:szCs w:val="28"/>
        </w:rPr>
        <w:t>Multi-omics evidence supporting the potential hydrogen-utilizing autotrophic metabolism of MAG415. The upper panels show carbon-fixation and hydrogen-oxidation modules encoded and expressed in MAG415, including RuBisCO (RbcL/CbbL), Prk, and hydrogenases. Gray symbols indicate absent genes, blue triangles indicate genes detected in the genome, and blue squares indicate corresponding proteins detected in the metaproteome. Heatmaps show protein abundances (log</w:t>
      </w:r>
      <w:r>
        <w:rPr>
          <w:rFonts w:ascii="Times New Roman" w:hAnsi="Times New Roman" w:eastAsia="宋体" w:cs="Times New Roman"/>
          <w:sz w:val="24"/>
          <w:szCs w:val="28"/>
          <w:vertAlign w:val="subscript"/>
        </w:rPr>
        <w:t>2</w:t>
      </w:r>
      <w:r>
        <w:rPr>
          <w:rFonts w:ascii="Times New Roman" w:hAnsi="Times New Roman" w:eastAsia="宋体" w:cs="Times New Roman"/>
          <w:sz w:val="24"/>
          <w:szCs w:val="28"/>
        </w:rPr>
        <w:t>LFQ) in the CK and MG groups during Phase II. The lower panel illustrates a putative metabolic linkage between H</w:t>
      </w:r>
      <w:r>
        <w:rPr>
          <w:rFonts w:ascii="Times New Roman" w:hAnsi="Times New Roman" w:eastAsia="宋体" w:cs="Times New Roman"/>
          <w:sz w:val="24"/>
          <w:szCs w:val="28"/>
          <w:vertAlign w:val="subscript"/>
        </w:rPr>
        <w:t>2</w:t>
      </w:r>
      <w:r>
        <w:rPr>
          <w:rFonts w:ascii="Times New Roman" w:hAnsi="Times New Roman" w:eastAsia="宋体" w:cs="Times New Roman"/>
          <w:sz w:val="24"/>
          <w:szCs w:val="28"/>
        </w:rPr>
        <w:t xml:space="preserve"> utilization, respiratory electron transfer, and nitrogen transformation, in which H</w:t>
      </w:r>
      <w:r>
        <w:rPr>
          <w:rFonts w:ascii="Times New Roman" w:hAnsi="Times New Roman" w:eastAsia="宋体" w:cs="Times New Roman"/>
          <w:sz w:val="24"/>
          <w:szCs w:val="28"/>
          <w:vertAlign w:val="subscript"/>
        </w:rPr>
        <w:t>2</w:t>
      </w:r>
      <w:r>
        <w:rPr>
          <w:rFonts w:ascii="Times New Roman" w:hAnsi="Times New Roman" w:eastAsia="宋体" w:cs="Times New Roman"/>
          <w:sz w:val="24"/>
          <w:szCs w:val="28"/>
        </w:rPr>
        <w:t xml:space="preserve">-derived electrons may contribute reducing equivalents to downstream nitrogen transformation. </w:t>
      </w:r>
      <w:r>
        <w:rPr>
          <w:rFonts w:ascii="Times New Roman" w:hAnsi="Times New Roman" w:eastAsia="宋体" w:cs="Times New Roman"/>
          <w:sz w:val="24"/>
          <w:szCs w:val="28"/>
        </w:rPr>
        <w:br w:type="page"/>
      </w:r>
    </w:p>
    <w:p w14:paraId="413C839E">
      <w:pPr>
        <w:spacing w:line="360" w:lineRule="auto"/>
        <w:jc w:val="center"/>
        <w:rPr>
          <w:rFonts w:ascii="Times New Roman" w:hAnsi="Times New Roman" w:eastAsia="宋体" w:cs="Times New Roman"/>
          <w:sz w:val="24"/>
          <w:szCs w:val="28"/>
        </w:rPr>
      </w:pPr>
      <w:r>
        <w:rPr>
          <w:rFonts w:ascii="Times New Roman" w:hAnsi="Times New Roman" w:eastAsia="宋体" w:cs="Times New Roman"/>
          <w:sz w:val="24"/>
          <w:szCs w:val="28"/>
        </w:rPr>
        <w:drawing>
          <wp:inline distT="0" distB="0" distL="0" distR="0">
            <wp:extent cx="6119495" cy="2100580"/>
            <wp:effectExtent l="0" t="0" r="0" b="0"/>
            <wp:docPr id="99304367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043677" name="图片 2"/>
                    <pic:cNvPicPr>
                      <a:picLocks noChangeAspect="1"/>
                    </pic:cNvPicPr>
                  </pic:nvPicPr>
                  <pic:blipFill>
                    <a:blip r:embed="rId17"/>
                    <a:stretch>
                      <a:fillRect/>
                    </a:stretch>
                  </pic:blipFill>
                  <pic:spPr>
                    <a:xfrm>
                      <a:off x="0" y="0"/>
                      <a:ext cx="6120000" cy="2100691"/>
                    </a:xfrm>
                    <a:prstGeom prst="rect">
                      <a:avLst/>
                    </a:prstGeom>
                  </pic:spPr>
                </pic:pic>
              </a:graphicData>
            </a:graphic>
          </wp:inline>
        </w:drawing>
      </w:r>
    </w:p>
    <w:p w14:paraId="49922B6D">
      <w:pPr>
        <w:spacing w:line="480" w:lineRule="auto"/>
        <w:jc w:val="left"/>
        <w:rPr>
          <w:rFonts w:ascii="Times New Roman" w:hAnsi="Times New Roman" w:eastAsia="宋体" w:cs="Times New Roman"/>
          <w:sz w:val="24"/>
          <w:szCs w:val="28"/>
        </w:rPr>
      </w:pPr>
      <w:bookmarkStart w:id="17" w:name="OLE_LINK6"/>
      <w:r>
        <w:rPr>
          <w:rFonts w:ascii="Times New Roman" w:hAnsi="Times New Roman" w:eastAsia="宋体" w:cs="Times New Roman"/>
          <w:sz w:val="24"/>
          <w:szCs w:val="28"/>
        </w:rPr>
        <w:t>Supplementary Figure 8.</w:t>
      </w:r>
      <w:bookmarkStart w:id="18" w:name="OLE_LINK15"/>
      <w:r>
        <w:rPr>
          <w:rFonts w:ascii="Times New Roman" w:hAnsi="Times New Roman" w:eastAsia="宋体" w:cs="Times New Roman"/>
          <w:sz w:val="24"/>
          <w:szCs w:val="28"/>
        </w:rPr>
        <w:t xml:space="preserve"> Reconstructed downstream C1-oxidation potential and protein-abundance patterns in Methylocaldum sp. MAG600. </w:t>
      </w:r>
      <w:bookmarkEnd w:id="18"/>
      <w:r>
        <w:rPr>
          <w:rFonts w:ascii="Times New Roman" w:hAnsi="Times New Roman" w:eastAsia="宋体" w:cs="Times New Roman"/>
          <w:sz w:val="24"/>
          <w:szCs w:val="28"/>
        </w:rPr>
        <w:t xml:space="preserve">The left panel shows a reconstructed C1-oxidation scheme from methane to CO₂. The initial methane-to-methanol oxidation step mediated by particulate methane monooxygenase (pMMO), encoded by </w:t>
      </w:r>
      <w:r>
        <w:rPr>
          <w:rFonts w:ascii="Times New Roman" w:hAnsi="Times New Roman" w:eastAsia="宋体" w:cs="Times New Roman"/>
          <w:i/>
          <w:iCs/>
          <w:sz w:val="24"/>
          <w:szCs w:val="28"/>
        </w:rPr>
        <w:t>pmoABC</w:t>
      </w:r>
      <w:r>
        <w:rPr>
          <w:rFonts w:ascii="Times New Roman" w:hAnsi="Times New Roman" w:eastAsia="宋体" w:cs="Times New Roman"/>
          <w:sz w:val="24"/>
          <w:szCs w:val="28"/>
        </w:rPr>
        <w:t>, was not annotated in MAG600 and is therefore shown as an unannotated module (red arrow). This absence contrasts with the genetic repertoire for downstream oxidation of methanol, formaldehyde, and formate (blue arrows). The right panel shows a heatmap of identified C1-metabolism enzyme abundances, expressed as log</w:t>
      </w:r>
      <w:r>
        <w:rPr>
          <w:rFonts w:ascii="Times New Roman" w:hAnsi="Times New Roman" w:eastAsia="宋体" w:cs="Times New Roman"/>
          <w:sz w:val="24"/>
          <w:szCs w:val="28"/>
          <w:vertAlign w:val="subscript"/>
        </w:rPr>
        <w:t>2</w:t>
      </w:r>
      <w:r>
        <w:rPr>
          <w:rFonts w:ascii="Times New Roman" w:hAnsi="Times New Roman" w:eastAsia="宋体" w:cs="Times New Roman"/>
          <w:sz w:val="24"/>
          <w:szCs w:val="28"/>
        </w:rPr>
        <w:t>LFQ, across operational phases. Sustained high expression of methanol dehydrogenases (Mdh1 and XoxF) and the formaldehyde-activating enzyme Fae indicates that MAG600 primarily functions as a methylotroph, scavenging methanol-derived intermediates in this niche rather than initiating methane oxidation.</w:t>
      </w:r>
      <w:r>
        <w:rPr>
          <w:rFonts w:ascii="Times New Roman" w:hAnsi="Times New Roman" w:eastAsia="宋体" w:cs="Times New Roman"/>
          <w:sz w:val="24"/>
          <w:szCs w:val="28"/>
        </w:rPr>
        <w:br w:type="page"/>
      </w:r>
    </w:p>
    <w:bookmarkEnd w:id="17"/>
    <w:p w14:paraId="0798C513">
      <w:pPr>
        <w:spacing w:line="360" w:lineRule="auto"/>
        <w:jc w:val="center"/>
        <w:rPr>
          <w:rFonts w:ascii="Times New Roman" w:hAnsi="Times New Roman" w:eastAsia="宋体" w:cs="Times New Roman"/>
          <w:sz w:val="24"/>
          <w:szCs w:val="28"/>
        </w:rPr>
      </w:pPr>
      <w:r>
        <w:rPr>
          <w:rFonts w:ascii="Times New Roman" w:hAnsi="Times New Roman" w:eastAsia="宋体" w:cs="Times New Roman"/>
          <w:sz w:val="24"/>
          <w:szCs w:val="28"/>
        </w:rPr>
        <w:drawing>
          <wp:inline distT="0" distB="0" distL="0" distR="0">
            <wp:extent cx="5039995" cy="2884170"/>
            <wp:effectExtent l="0" t="0" r="8255" b="0"/>
            <wp:docPr id="104857435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574350" name="图片 5"/>
                    <pic:cNvPicPr>
                      <a:picLocks noChangeAspect="1"/>
                    </pic:cNvPicPr>
                  </pic:nvPicPr>
                  <pic:blipFill>
                    <a:blip r:embed="rId18"/>
                    <a:stretch>
                      <a:fillRect/>
                    </a:stretch>
                  </pic:blipFill>
                  <pic:spPr>
                    <a:xfrm>
                      <a:off x="0" y="0"/>
                      <a:ext cx="5040284" cy="2884516"/>
                    </a:xfrm>
                    <a:prstGeom prst="rect">
                      <a:avLst/>
                    </a:prstGeom>
                  </pic:spPr>
                </pic:pic>
              </a:graphicData>
            </a:graphic>
          </wp:inline>
        </w:drawing>
      </w:r>
    </w:p>
    <w:p w14:paraId="0ACD2087">
      <w:pPr>
        <w:widowControl/>
        <w:spacing w:line="480" w:lineRule="auto"/>
        <w:jc w:val="left"/>
        <w:rPr>
          <w:rFonts w:ascii="Times New Roman" w:hAnsi="Times New Roman" w:eastAsia="宋体" w:cs="Times New Roman"/>
          <w:color w:val="000000" w:themeColor="text1"/>
          <w:sz w:val="24"/>
          <w:szCs w:val="28"/>
          <w14:textFill>
            <w14:solidFill>
              <w14:schemeClr w14:val="tx1"/>
            </w14:solidFill>
          </w14:textFill>
        </w:rPr>
      </w:pPr>
      <w:bookmarkStart w:id="19" w:name="OLE_LINK30"/>
      <w:r>
        <w:rPr>
          <w:rFonts w:ascii="Times New Roman" w:hAnsi="Times New Roman" w:eastAsia="宋体" w:cs="Times New Roman"/>
          <w:color w:val="000000" w:themeColor="text1"/>
          <w:sz w:val="24"/>
          <w:szCs w:val="28"/>
          <w14:textFill>
            <w14:solidFill>
              <w14:schemeClr w14:val="tx1"/>
            </w14:solidFill>
          </w14:textFill>
        </w:rPr>
        <w:t>Supplementary Figure 9. Protein-abundance patterns of selected carbon-salvage, central-metabolism, and micro-oxic respiration markers in MAG600. Bubble plots show the comparative abundances, expressed as log</w:t>
      </w:r>
      <w:r>
        <w:rPr>
          <w:rFonts w:ascii="Times New Roman" w:hAnsi="Times New Roman" w:eastAsia="宋体" w:cs="Times New Roman"/>
          <w:color w:val="000000" w:themeColor="text1"/>
          <w:sz w:val="24"/>
          <w:szCs w:val="28"/>
          <w:vertAlign w:val="subscript"/>
          <w14:textFill>
            <w14:solidFill>
              <w14:schemeClr w14:val="tx1"/>
            </w14:solidFill>
          </w14:textFill>
        </w:rPr>
        <w:t>2</w:t>
      </w:r>
      <w:r>
        <w:rPr>
          <w:rFonts w:ascii="Times New Roman" w:hAnsi="Times New Roman" w:eastAsia="宋体" w:cs="Times New Roman"/>
          <w:color w:val="000000" w:themeColor="text1"/>
          <w:sz w:val="24"/>
          <w:szCs w:val="28"/>
          <w14:textFill>
            <w14:solidFill>
              <w14:schemeClr w14:val="tx1"/>
            </w14:solidFill>
          </w14:textFill>
        </w:rPr>
        <w:t>LFQ, of selected proteins between the CK and MG groups at the end of Phase II. Bubble size corresponds to protein abundance, with pink and blue colors representing the CK and MG conditions, respectively.</w:t>
      </w:r>
      <w:bookmarkEnd w:id="19"/>
      <w:r>
        <w:rPr>
          <w:rFonts w:ascii="Times New Roman" w:hAnsi="Times New Roman" w:eastAsia="宋体" w:cs="Times New Roman"/>
          <w:color w:val="000000"/>
          <w:sz w:val="24"/>
          <w:szCs w:val="24"/>
        </w:rPr>
        <w:br w:type="page"/>
      </w:r>
    </w:p>
    <w:p w14:paraId="7A659E7A">
      <w:pPr>
        <w:widowControl/>
        <w:spacing w:line="480" w:lineRule="auto"/>
        <w:rPr>
          <w:rFonts w:ascii="Times New Roman" w:hAnsi="Times New Roman" w:eastAsia="宋体" w:cs="Times New Roman"/>
          <w:color w:val="000000" w:themeColor="text1"/>
          <w:sz w:val="24"/>
          <w:szCs w:val="28"/>
          <w14:textFill>
            <w14:solidFill>
              <w14:schemeClr w14:val="tx1"/>
            </w14:solidFill>
          </w14:textFill>
        </w:rPr>
      </w:pPr>
      <w:r>
        <w:rPr>
          <w:rFonts w:ascii="Times New Roman" w:hAnsi="Times New Roman" w:eastAsia="宋体" w:cs="Times New Roman"/>
          <w:color w:val="000000" w:themeColor="text1"/>
          <w:sz w:val="24"/>
          <w:szCs w:val="28"/>
          <w14:textFill>
            <w14:solidFill>
              <w14:schemeClr w14:val="tx1"/>
            </w14:solidFill>
          </w14:textFill>
        </w:rPr>
        <w:drawing>
          <wp:inline distT="0" distB="0" distL="0" distR="0">
            <wp:extent cx="6120130" cy="3303270"/>
            <wp:effectExtent l="0" t="0" r="0" b="0"/>
            <wp:docPr id="40632037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20374" name="图片 7"/>
                    <pic:cNvPicPr>
                      <a:picLocks noChangeAspect="1"/>
                    </pic:cNvPicPr>
                  </pic:nvPicPr>
                  <pic:blipFill>
                    <a:blip r:embed="rId19"/>
                    <a:stretch>
                      <a:fillRect/>
                    </a:stretch>
                  </pic:blipFill>
                  <pic:spPr>
                    <a:xfrm>
                      <a:off x="0" y="0"/>
                      <a:ext cx="6120130" cy="3303270"/>
                    </a:xfrm>
                    <a:prstGeom prst="rect">
                      <a:avLst/>
                    </a:prstGeom>
                  </pic:spPr>
                </pic:pic>
              </a:graphicData>
            </a:graphic>
          </wp:inline>
        </w:drawing>
      </w:r>
    </w:p>
    <w:p w14:paraId="277D9A72">
      <w:pPr>
        <w:spacing w:line="480" w:lineRule="auto"/>
        <w:jc w:val="left"/>
        <w:rPr>
          <w:rFonts w:ascii="Times New Roman" w:hAnsi="Times New Roman" w:eastAsia="宋体" w:cs="Times New Roman"/>
          <w:bCs/>
          <w:color w:val="000000" w:themeColor="text1"/>
          <w:sz w:val="24"/>
          <w:szCs w:val="28"/>
          <w14:textFill>
            <w14:solidFill>
              <w14:schemeClr w14:val="tx1"/>
            </w14:solidFill>
          </w14:textFill>
        </w:rPr>
      </w:pPr>
      <w:r>
        <w:rPr>
          <w:rFonts w:ascii="Times New Roman" w:hAnsi="Times New Roman" w:eastAsia="宋体" w:cs="Times New Roman"/>
          <w:bCs/>
          <w:color w:val="000000" w:themeColor="text1"/>
          <w:sz w:val="24"/>
          <w:szCs w:val="28"/>
          <w14:textFill>
            <w14:solidFill>
              <w14:schemeClr w14:val="tx1"/>
            </w14:solidFill>
          </w14:textFill>
        </w:rPr>
        <w:t>Supplementary Figure 10. Differences in the abundance of key methanogenic genes between the MG and CK groups. The figure shows the impact of micro-aeration on the functional gene repertoire involved in methanogenesis. The background shows the core methanogenic pathways, with blue, gray, and yellow arrows denoting the acetoclastic, hydrogenotrophic, and methylotrophic routes, respectively, all converging at the terminal step indicated by a red arrow. Adjacent to each key enzyme or gene, a colored matrix shows its relative abundance, expressed as the percentage based on KEGG annotation, across four samples: CK and MG groups during Phase II and Phase IV. The color scale indicates abundance levels ranging from blue, 0%, to red, 0.030%.</w:t>
      </w:r>
      <w:r>
        <w:rPr>
          <w:rFonts w:ascii="Times New Roman" w:hAnsi="Times New Roman" w:eastAsia="宋体" w:cs="Times New Roman"/>
          <w:bCs/>
          <w:color w:val="000000" w:themeColor="text1"/>
          <w:sz w:val="24"/>
          <w:szCs w:val="28"/>
          <w14:textFill>
            <w14:solidFill>
              <w14:schemeClr w14:val="tx1"/>
            </w14:solidFill>
          </w14:textFill>
        </w:rPr>
        <w:br w:type="page"/>
      </w:r>
    </w:p>
    <w:p w14:paraId="189ABF17">
      <w:pPr>
        <w:spacing w:line="480" w:lineRule="auto"/>
        <w:jc w:val="left"/>
        <w:rPr>
          <w:rFonts w:ascii="Times New Roman" w:hAnsi="Times New Roman" w:eastAsia="宋体" w:cs="Times New Roman"/>
          <w:b/>
          <w:color w:val="000000" w:themeColor="text1"/>
          <w:sz w:val="24"/>
          <w:szCs w:val="28"/>
          <w14:textFill>
            <w14:solidFill>
              <w14:schemeClr w14:val="tx1"/>
            </w14:solidFill>
          </w14:textFill>
        </w:rPr>
      </w:pPr>
      <w:r>
        <w:rPr>
          <w:rFonts w:ascii="Times New Roman" w:hAnsi="Times New Roman" w:eastAsia="宋体" w:cs="Times New Roman"/>
          <w:b/>
          <w:color w:val="000000" w:themeColor="text1"/>
          <w:sz w:val="24"/>
          <w:szCs w:val="28"/>
          <w14:textFill>
            <w14:solidFill>
              <w14:schemeClr w14:val="tx1"/>
            </w14:solidFill>
          </w14:textFill>
        </w:rPr>
        <w:t>Supplementary References</w:t>
      </w:r>
    </w:p>
    <w:sdt>
      <w:sdtPr>
        <w:rPr>
          <w:rFonts w:ascii="Times New Roman" w:hAnsi="Times New Roman" w:eastAsia="宋体" w:cs="Times New Roman"/>
          <w:bCs/>
          <w:color w:val="000000"/>
          <w:sz w:val="24"/>
          <w:szCs w:val="28"/>
        </w:rPr>
        <w:tag w:val="MENDELEY_BIBLIOGRAPHY"/>
        <w:id w:val="-972129746"/>
        <w:placeholder>
          <w:docPart w:val="DefaultPlaceholder_-1854013440"/>
        </w:placeholder>
      </w:sdtPr>
      <w:sdtEndPr>
        <w:rPr>
          <w:rFonts w:ascii="Times New Roman" w:hAnsi="Times New Roman" w:eastAsia="宋体" w:cs="Times New Roman"/>
          <w:bCs/>
          <w:color w:val="000000"/>
          <w:sz w:val="24"/>
          <w:szCs w:val="28"/>
        </w:rPr>
      </w:sdtEndPr>
      <w:sdtContent>
        <w:p w14:paraId="45C198C7">
          <w:pPr>
            <w:widowControl/>
            <w:autoSpaceDE w:val="0"/>
            <w:autoSpaceDN w:val="0"/>
            <w:spacing w:line="480" w:lineRule="auto"/>
            <w:ind w:hanging="480"/>
            <w:rPr>
              <w:rFonts w:ascii="Times New Roman" w:hAnsi="Times New Roman" w:cs="Times New Roman"/>
              <w:color w:val="000000"/>
              <w:kern w:val="0"/>
              <w:sz w:val="24"/>
              <w:szCs w:val="24"/>
            </w:rPr>
          </w:pPr>
          <w:r>
            <w:rPr>
              <w:rFonts w:ascii="Times New Roman" w:hAnsi="Times New Roman" w:cs="Times New Roman"/>
              <w:color w:val="000000"/>
              <w:sz w:val="24"/>
            </w:rPr>
            <w:t>Kim, M.-S., Lim, B.R., Jeon, P., Hong, Seoyeon, Jeon, D., Park, S.Y., Hong, Sunhwa, Yoo, E.J., Kim, H.S., Shin, S., Yoon, J. ki, 2023. Innovative approach to reveal source contribution of dissolved organic matter in a complex river watershed using end-member mixing analysis based on spectroscopic proxies and multi-isotopes. Water Res. 230, 119470. https://doi.org/10.1016/j.watres.2022.119470</w:t>
          </w:r>
        </w:p>
        <w:p w14:paraId="2F0EF55E">
          <w:pPr>
            <w:autoSpaceDE w:val="0"/>
            <w:autoSpaceDN w:val="0"/>
            <w:spacing w:line="480" w:lineRule="auto"/>
            <w:ind w:hanging="480"/>
            <w:rPr>
              <w:rFonts w:ascii="Times New Roman" w:hAnsi="Times New Roman" w:cs="Times New Roman"/>
              <w:color w:val="000000"/>
              <w:sz w:val="24"/>
            </w:rPr>
          </w:pPr>
          <w:r>
            <w:rPr>
              <w:rFonts w:ascii="Times New Roman" w:hAnsi="Times New Roman" w:cs="Times New Roman"/>
              <w:color w:val="000000"/>
              <w:sz w:val="24"/>
            </w:rPr>
            <w:t>Ouyang, L., Thamdrup, B., Trimmer, M., 2021. Coupled nitrification and N</w:t>
          </w:r>
          <w:r>
            <w:rPr>
              <w:rFonts w:ascii="Times New Roman" w:hAnsi="Times New Roman" w:cs="Times New Roman"/>
              <w:color w:val="000000"/>
              <w:sz w:val="24"/>
              <w:vertAlign w:val="subscript"/>
            </w:rPr>
            <w:t>2</w:t>
          </w:r>
          <w:r>
            <w:rPr>
              <w:rFonts w:ascii="Times New Roman" w:hAnsi="Times New Roman" w:cs="Times New Roman"/>
              <w:color w:val="000000"/>
              <w:sz w:val="24"/>
            </w:rPr>
            <w:t xml:space="preserve"> gas production as a cryptic process in oxic riverbeds. Nat. Commun. 12, 1217. https://doi.org/10.1038/s41467-021-21400-3</w:t>
          </w:r>
        </w:p>
        <w:p w14:paraId="6BE7E047">
          <w:pPr>
            <w:autoSpaceDE w:val="0"/>
            <w:autoSpaceDN w:val="0"/>
            <w:spacing w:line="480" w:lineRule="auto"/>
            <w:ind w:hanging="480"/>
            <w:rPr>
              <w:rFonts w:ascii="Times New Roman" w:hAnsi="Times New Roman" w:cs="Times New Roman"/>
              <w:color w:val="000000"/>
              <w:sz w:val="24"/>
            </w:rPr>
          </w:pPr>
          <w:r>
            <w:rPr>
              <w:rFonts w:ascii="Times New Roman" w:hAnsi="Times New Roman" w:cs="Times New Roman"/>
              <w:color w:val="000000"/>
              <w:sz w:val="24"/>
            </w:rPr>
            <w:t>Su, Q., Domingo-Félez, C., Zhi, M., Jensen, M.M., Xu, B., Ng, H.Y., Smets, B.F., 2024. Formation and Fate of Reactive Nitrogen during Biological Nitrogen Removal from Water: Important Yet Often Ignored Chemical Aspects of the Nitrogen Cycle. Environ. Sci. Technol. 58, 22480–22501. https://doi.org/10.1021/acs.est.4c03086</w:t>
          </w:r>
        </w:p>
        <w:p w14:paraId="3993E86C">
          <w:pPr>
            <w:autoSpaceDE w:val="0"/>
            <w:autoSpaceDN w:val="0"/>
            <w:spacing w:line="480" w:lineRule="auto"/>
            <w:ind w:hanging="480"/>
            <w:rPr>
              <w:rFonts w:ascii="Times New Roman" w:hAnsi="Times New Roman" w:cs="Times New Roman"/>
              <w:color w:val="000000"/>
              <w:sz w:val="24"/>
            </w:rPr>
          </w:pPr>
          <w:r>
            <w:rPr>
              <w:rFonts w:ascii="Times New Roman" w:hAnsi="Times New Roman" w:cs="Times New Roman"/>
              <w:color w:val="000000"/>
              <w:sz w:val="24"/>
            </w:rPr>
            <w:t>Wankel, S.D., Ziebis, W., Buchwald, C., Charoenpong, C., de Beer, D., Dentinger, J., Xu, Z., Zengler, K., 2017. Evidence for fungal and chemodenitrification based N</w:t>
          </w:r>
          <w:r>
            <w:rPr>
              <w:rFonts w:ascii="Times New Roman" w:hAnsi="Times New Roman" w:cs="Times New Roman"/>
              <w:color w:val="000000"/>
              <w:sz w:val="24"/>
              <w:vertAlign w:val="subscript"/>
            </w:rPr>
            <w:t>2</w:t>
          </w:r>
          <w:r>
            <w:rPr>
              <w:rFonts w:ascii="Times New Roman" w:hAnsi="Times New Roman" w:cs="Times New Roman"/>
              <w:color w:val="000000"/>
              <w:sz w:val="24"/>
            </w:rPr>
            <w:t>O flux from nitrogen impacted coastal sediments. Nat. Commun. 8, 15595. https://doi.org/10.1038/ncomms15595</w:t>
          </w:r>
        </w:p>
        <w:p w14:paraId="7A484EF9">
          <w:pPr>
            <w:autoSpaceDE w:val="0"/>
            <w:autoSpaceDN w:val="0"/>
            <w:spacing w:line="480" w:lineRule="auto"/>
            <w:ind w:hanging="480"/>
            <w:rPr>
              <w:rFonts w:ascii="Times New Roman" w:hAnsi="Times New Roman" w:cs="Times New Roman"/>
              <w:color w:val="000000"/>
              <w:sz w:val="24"/>
            </w:rPr>
          </w:pPr>
          <w:r>
            <w:rPr>
              <w:rFonts w:ascii="Times New Roman" w:hAnsi="Times New Roman" w:cs="Times New Roman"/>
              <w:color w:val="000000"/>
              <w:sz w:val="24"/>
            </w:rPr>
            <w:t>Ye, W., Li, L., Zou, M., Han, L., Xu, P., Gu, Y., Yuan, R., Peng, X., 2025. Vanillin as a quorum sensing inhibitor: effect on extracellular polymeric substance production and defoaming potential in anaerobic digestion system. Chem. Eng. J. 512, 162762. https://doi.org/10.1016/j.cej.2025.162762</w:t>
          </w:r>
        </w:p>
        <w:p w14:paraId="430A9B32">
          <w:pPr>
            <w:autoSpaceDE w:val="0"/>
            <w:autoSpaceDN w:val="0"/>
            <w:spacing w:line="480" w:lineRule="auto"/>
            <w:ind w:hanging="480"/>
            <w:rPr>
              <w:rFonts w:ascii="Times New Roman" w:hAnsi="Times New Roman" w:cs="Times New Roman"/>
              <w:color w:val="000000"/>
              <w:sz w:val="24"/>
            </w:rPr>
          </w:pPr>
          <w:r>
            <w:rPr>
              <w:rFonts w:ascii="Times New Roman" w:hAnsi="Times New Roman" w:cs="Times New Roman"/>
              <w:color w:val="000000"/>
              <w:sz w:val="24"/>
            </w:rPr>
            <w:t>Zhang, L., Gong, X., Chen, Z., Zhou, Y., 2022. Genome-centric metagenomics analysis revealed the metabolic function of abundant microbial communities in thermal hydrolysis-assisted thermophilic anaerobic digesters under propionate stress. Bioresour. Technol. 360, 127574. https://doi.org/10.1016/j.biortech.2022.127574</w:t>
          </w:r>
        </w:p>
        <w:p w14:paraId="7FBBB1CD">
          <w:pPr>
            <w:spacing w:line="480" w:lineRule="auto"/>
            <w:jc w:val="left"/>
            <w:rPr>
              <w:rFonts w:ascii="Times New Roman" w:hAnsi="Times New Roman" w:eastAsia="宋体" w:cs="Times New Roman"/>
              <w:b/>
              <w:color w:val="000000" w:themeColor="text1"/>
              <w:sz w:val="24"/>
              <w:szCs w:val="28"/>
              <w14:textFill>
                <w14:solidFill>
                  <w14:schemeClr w14:val="tx1"/>
                </w14:solidFill>
              </w14:textFill>
            </w:rPr>
          </w:pPr>
          <w:r>
            <w:rPr>
              <w:rFonts w:ascii="Times New Roman" w:hAnsi="Times New Roman" w:cs="Times New Roman"/>
              <w:color w:val="000000"/>
              <w:sz w:val="24"/>
            </w:rPr>
            <w:t> </w:t>
          </w:r>
        </w:p>
      </w:sdtContent>
    </w:sdt>
    <w:sectPr>
      <w:footerReference r:id="rId3" w:type="default"/>
      <w:pgSz w:w="11906" w:h="16838"/>
      <w:pgMar w:top="1134"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C8B32938-9DFD-4378-89E9-0AEE0724A04E}"/>
  </w:font>
  <w:font w:name="Arial">
    <w:panose1 w:val="020B0604020202020204"/>
    <w:charset w:val="01"/>
    <w:family w:val="swiss"/>
    <w:pitch w:val="default"/>
    <w:sig w:usb0="E0002EFF" w:usb1="C000785B" w:usb2="00000009" w:usb3="00000000" w:csb0="400001FF" w:csb1="FFFF0000"/>
    <w:embedRegular r:id="rId2" w:fontKey="{D4E90B10-8FF9-4472-B131-8A15573E968F}"/>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4AE899FA-1107-4B9F-A814-9A200F4123BA}"/>
  </w:font>
  <w:font w:name="Symbol">
    <w:panose1 w:val="05050102010706020507"/>
    <w:charset w:val="02"/>
    <w:family w:val="roman"/>
    <w:pitch w:val="default"/>
    <w:sig w:usb0="00000000" w:usb1="00000000" w:usb2="00000000" w:usb3="00000000" w:csb0="80000000" w:csb1="00000000"/>
    <w:embedRegular r:id="rId4" w:fontKey="{BB7C4248-23DF-4702-9265-694E5AF81DB3}"/>
  </w:font>
  <w:font w:name="Calibri">
    <w:panose1 w:val="020F0502020204030204"/>
    <w:charset w:val="00"/>
    <w:family w:val="swiss"/>
    <w:pitch w:val="default"/>
    <w:sig w:usb0="E4002EFF" w:usb1="C200247B" w:usb2="00000009" w:usb3="00000000" w:csb0="200001FF" w:csb1="00000000"/>
    <w:embedRegular r:id="rId5" w:fontKey="{484BFD89-002C-4190-B128-B5A912B6ACDD}"/>
  </w:font>
  <w:font w:name="等线">
    <w:panose1 w:val="02010600030101010101"/>
    <w:charset w:val="86"/>
    <w:family w:val="auto"/>
    <w:pitch w:val="default"/>
    <w:sig w:usb0="A00002BF" w:usb1="38CF7CFA" w:usb2="00000016" w:usb3="00000000" w:csb0="0004000F" w:csb1="00000000"/>
    <w:embedRegular r:id="rId6" w:fontKey="{FBC94909-B6CC-47A9-AB50-02A8757AF658}"/>
  </w:font>
  <w:font w:name="Cambria Math">
    <w:panose1 w:val="02040503050406030204"/>
    <w:charset w:val="00"/>
    <w:family w:val="roman"/>
    <w:pitch w:val="default"/>
    <w:sig w:usb0="E00006FF" w:usb1="420024FF" w:usb2="02000000" w:usb3="00000000" w:csb0="2000019F" w:csb1="00000000"/>
    <w:embedRegular r:id="rId7" w:fontKey="{106DACAA-E023-4470-80FC-61C4D2F0B646}"/>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139D78">
    <w:pPr>
      <w:pStyle w:val="4"/>
      <w:jc w:val="center"/>
      <w:rPr>
        <w:rFonts w:ascii="Times New Roman" w:hAnsi="Times New Roman" w:cs="Times New Roman"/>
      </w:rPr>
    </w:pPr>
    <w:bookmarkStart w:id="20" w:name="OLE_LINK34"/>
    <w:r>
      <w:rPr>
        <w:rFonts w:ascii="Times New Roman" w:hAnsi="Times New Roman" w:cs="Times New Roman"/>
      </w:rPr>
      <w:t>S</w:t>
    </w:r>
    <w:sdt>
      <w:sdtPr>
        <w:rPr>
          <w:rFonts w:ascii="Times New Roman" w:hAnsi="Times New Roman" w:cs="Times New Roman"/>
        </w:rPr>
        <w:id w:val="-422731680"/>
      </w:sdtPr>
      <w:sdtEndPr>
        <w:rPr>
          <w:rFonts w:ascii="Times New Roman" w:hAnsi="Times New Roman" w:cs="Times New Roman"/>
        </w:rPr>
      </w:sdtEndPr>
      <w:sdtContent>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2</w:t>
        </w:r>
        <w:r>
          <w:rPr>
            <w:rFonts w:ascii="Times New Roman" w:hAnsi="Times New Roman" w:cs="Times New Roman"/>
          </w:rPr>
          <w:fldChar w:fldCharType="end"/>
        </w:r>
      </w:sdtContent>
    </w:sdt>
  </w:p>
  <w:bookmarkEnd w:id="20"/>
  <w:p w14:paraId="598CDBBC">
    <w:pPr>
      <w:pStyle w:val="4"/>
      <w:rPr>
        <w:rFonts w:hint="eastAsia"/>
      </w:rP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TrueType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6C48"/>
    <w:rsid w:val="0000241F"/>
    <w:rsid w:val="00010D3A"/>
    <w:rsid w:val="0002000B"/>
    <w:rsid w:val="000211F5"/>
    <w:rsid w:val="00031522"/>
    <w:rsid w:val="00031A0F"/>
    <w:rsid w:val="00031E40"/>
    <w:rsid w:val="00041739"/>
    <w:rsid w:val="00041896"/>
    <w:rsid w:val="0004405F"/>
    <w:rsid w:val="00045085"/>
    <w:rsid w:val="00052B40"/>
    <w:rsid w:val="0005483E"/>
    <w:rsid w:val="0005510F"/>
    <w:rsid w:val="0005610A"/>
    <w:rsid w:val="000565DC"/>
    <w:rsid w:val="000606D8"/>
    <w:rsid w:val="00061F0D"/>
    <w:rsid w:val="000635B2"/>
    <w:rsid w:val="00063934"/>
    <w:rsid w:val="000769E8"/>
    <w:rsid w:val="00080353"/>
    <w:rsid w:val="00081DB1"/>
    <w:rsid w:val="0009002F"/>
    <w:rsid w:val="000915FB"/>
    <w:rsid w:val="000A1399"/>
    <w:rsid w:val="000A20DF"/>
    <w:rsid w:val="000A2B7D"/>
    <w:rsid w:val="000A33FF"/>
    <w:rsid w:val="000A72F7"/>
    <w:rsid w:val="000C64D0"/>
    <w:rsid w:val="000D606E"/>
    <w:rsid w:val="000E09B4"/>
    <w:rsid w:val="000E36B1"/>
    <w:rsid w:val="000E41BC"/>
    <w:rsid w:val="000E50CB"/>
    <w:rsid w:val="00105D46"/>
    <w:rsid w:val="00110EBF"/>
    <w:rsid w:val="001227A9"/>
    <w:rsid w:val="00124B19"/>
    <w:rsid w:val="00131FB8"/>
    <w:rsid w:val="0013335E"/>
    <w:rsid w:val="00141EC2"/>
    <w:rsid w:val="001444FE"/>
    <w:rsid w:val="00145D9A"/>
    <w:rsid w:val="00145FE9"/>
    <w:rsid w:val="00151266"/>
    <w:rsid w:val="00152DDA"/>
    <w:rsid w:val="00153750"/>
    <w:rsid w:val="001537B6"/>
    <w:rsid w:val="00153C57"/>
    <w:rsid w:val="001549EC"/>
    <w:rsid w:val="00157CB4"/>
    <w:rsid w:val="00157FEB"/>
    <w:rsid w:val="001609E4"/>
    <w:rsid w:val="00161E90"/>
    <w:rsid w:val="00163686"/>
    <w:rsid w:val="00163890"/>
    <w:rsid w:val="001642C4"/>
    <w:rsid w:val="00165056"/>
    <w:rsid w:val="001675FB"/>
    <w:rsid w:val="00171138"/>
    <w:rsid w:val="00173759"/>
    <w:rsid w:val="0018008A"/>
    <w:rsid w:val="00184859"/>
    <w:rsid w:val="001905D4"/>
    <w:rsid w:val="00193299"/>
    <w:rsid w:val="00193969"/>
    <w:rsid w:val="0019451C"/>
    <w:rsid w:val="00197CF1"/>
    <w:rsid w:val="001A3148"/>
    <w:rsid w:val="001A5B54"/>
    <w:rsid w:val="001A716B"/>
    <w:rsid w:val="001B252E"/>
    <w:rsid w:val="001B4943"/>
    <w:rsid w:val="001B5944"/>
    <w:rsid w:val="001B73F5"/>
    <w:rsid w:val="001C1F03"/>
    <w:rsid w:val="001C43B7"/>
    <w:rsid w:val="001C77A0"/>
    <w:rsid w:val="001D3B40"/>
    <w:rsid w:val="001D3EEF"/>
    <w:rsid w:val="001D724D"/>
    <w:rsid w:val="001E0150"/>
    <w:rsid w:val="001E0F39"/>
    <w:rsid w:val="001E3F3E"/>
    <w:rsid w:val="001E7D5C"/>
    <w:rsid w:val="001F0891"/>
    <w:rsid w:val="001F16C0"/>
    <w:rsid w:val="00203923"/>
    <w:rsid w:val="0020798F"/>
    <w:rsid w:val="00210722"/>
    <w:rsid w:val="0022101F"/>
    <w:rsid w:val="00222FBF"/>
    <w:rsid w:val="002248C3"/>
    <w:rsid w:val="002303C4"/>
    <w:rsid w:val="002324F3"/>
    <w:rsid w:val="00233E9D"/>
    <w:rsid w:val="00237A09"/>
    <w:rsid w:val="00240852"/>
    <w:rsid w:val="0024275A"/>
    <w:rsid w:val="002444BE"/>
    <w:rsid w:val="00246EAE"/>
    <w:rsid w:val="002519B5"/>
    <w:rsid w:val="0025458C"/>
    <w:rsid w:val="0025505F"/>
    <w:rsid w:val="002614E0"/>
    <w:rsid w:val="00272401"/>
    <w:rsid w:val="002852F6"/>
    <w:rsid w:val="00285F71"/>
    <w:rsid w:val="002879B7"/>
    <w:rsid w:val="0029645D"/>
    <w:rsid w:val="00297C7A"/>
    <w:rsid w:val="002A2FD1"/>
    <w:rsid w:val="002A426F"/>
    <w:rsid w:val="002A731D"/>
    <w:rsid w:val="002A760E"/>
    <w:rsid w:val="002B422F"/>
    <w:rsid w:val="002C30D9"/>
    <w:rsid w:val="002C4F59"/>
    <w:rsid w:val="002E55CE"/>
    <w:rsid w:val="002E6A19"/>
    <w:rsid w:val="002F58B1"/>
    <w:rsid w:val="002F6C37"/>
    <w:rsid w:val="002F6CA2"/>
    <w:rsid w:val="0030553A"/>
    <w:rsid w:val="0031246E"/>
    <w:rsid w:val="003152DC"/>
    <w:rsid w:val="00317CEF"/>
    <w:rsid w:val="003225F7"/>
    <w:rsid w:val="00326F69"/>
    <w:rsid w:val="00331FD5"/>
    <w:rsid w:val="0033417B"/>
    <w:rsid w:val="00336EED"/>
    <w:rsid w:val="003505D3"/>
    <w:rsid w:val="003673C3"/>
    <w:rsid w:val="00371873"/>
    <w:rsid w:val="00377E82"/>
    <w:rsid w:val="00380D90"/>
    <w:rsid w:val="0038679A"/>
    <w:rsid w:val="003902FF"/>
    <w:rsid w:val="00394618"/>
    <w:rsid w:val="00394B39"/>
    <w:rsid w:val="00397BD9"/>
    <w:rsid w:val="003A0174"/>
    <w:rsid w:val="003A0D16"/>
    <w:rsid w:val="003A3C3B"/>
    <w:rsid w:val="003A454C"/>
    <w:rsid w:val="003A5E0D"/>
    <w:rsid w:val="003B3E40"/>
    <w:rsid w:val="003B7B30"/>
    <w:rsid w:val="003C34C9"/>
    <w:rsid w:val="003C6087"/>
    <w:rsid w:val="003D2260"/>
    <w:rsid w:val="003D472B"/>
    <w:rsid w:val="003E04CE"/>
    <w:rsid w:val="003E667D"/>
    <w:rsid w:val="003F2124"/>
    <w:rsid w:val="00402EBE"/>
    <w:rsid w:val="00413197"/>
    <w:rsid w:val="00416D12"/>
    <w:rsid w:val="0042038A"/>
    <w:rsid w:val="00422BC7"/>
    <w:rsid w:val="00426C16"/>
    <w:rsid w:val="00433BB2"/>
    <w:rsid w:val="004367C9"/>
    <w:rsid w:val="004411A7"/>
    <w:rsid w:val="00442CB8"/>
    <w:rsid w:val="004515D2"/>
    <w:rsid w:val="004543B7"/>
    <w:rsid w:val="00454544"/>
    <w:rsid w:val="004602AA"/>
    <w:rsid w:val="00460DB7"/>
    <w:rsid w:val="0046486C"/>
    <w:rsid w:val="00465DB0"/>
    <w:rsid w:val="004725C9"/>
    <w:rsid w:val="00473F38"/>
    <w:rsid w:val="004747A3"/>
    <w:rsid w:val="0048172D"/>
    <w:rsid w:val="00482080"/>
    <w:rsid w:val="0048575E"/>
    <w:rsid w:val="004871F0"/>
    <w:rsid w:val="0049339E"/>
    <w:rsid w:val="004A1825"/>
    <w:rsid w:val="004A7DB1"/>
    <w:rsid w:val="004C3B21"/>
    <w:rsid w:val="004C676B"/>
    <w:rsid w:val="004C741C"/>
    <w:rsid w:val="004D48EF"/>
    <w:rsid w:val="004D7F28"/>
    <w:rsid w:val="004E691F"/>
    <w:rsid w:val="004F74CE"/>
    <w:rsid w:val="00500CBE"/>
    <w:rsid w:val="00511A5B"/>
    <w:rsid w:val="00512937"/>
    <w:rsid w:val="005133C6"/>
    <w:rsid w:val="0051421A"/>
    <w:rsid w:val="005160DA"/>
    <w:rsid w:val="00516A60"/>
    <w:rsid w:val="00531613"/>
    <w:rsid w:val="00535A65"/>
    <w:rsid w:val="005431DB"/>
    <w:rsid w:val="005434AB"/>
    <w:rsid w:val="00544F9F"/>
    <w:rsid w:val="0055306D"/>
    <w:rsid w:val="00554CBE"/>
    <w:rsid w:val="00562DA3"/>
    <w:rsid w:val="00566A3F"/>
    <w:rsid w:val="00567F0B"/>
    <w:rsid w:val="005711B4"/>
    <w:rsid w:val="00572B25"/>
    <w:rsid w:val="00581E40"/>
    <w:rsid w:val="005919F5"/>
    <w:rsid w:val="00591E37"/>
    <w:rsid w:val="00594120"/>
    <w:rsid w:val="00595877"/>
    <w:rsid w:val="00597278"/>
    <w:rsid w:val="005A47E2"/>
    <w:rsid w:val="005A500A"/>
    <w:rsid w:val="005A5BC8"/>
    <w:rsid w:val="005C6696"/>
    <w:rsid w:val="005D0401"/>
    <w:rsid w:val="005D0A3C"/>
    <w:rsid w:val="005D443E"/>
    <w:rsid w:val="005D56B1"/>
    <w:rsid w:val="005D7285"/>
    <w:rsid w:val="005D78F9"/>
    <w:rsid w:val="005E6C98"/>
    <w:rsid w:val="005F0696"/>
    <w:rsid w:val="005F3624"/>
    <w:rsid w:val="005F49FE"/>
    <w:rsid w:val="00603C08"/>
    <w:rsid w:val="0060477C"/>
    <w:rsid w:val="0060581C"/>
    <w:rsid w:val="00605DCD"/>
    <w:rsid w:val="006149A4"/>
    <w:rsid w:val="00622DB5"/>
    <w:rsid w:val="00623609"/>
    <w:rsid w:val="006309D7"/>
    <w:rsid w:val="00633175"/>
    <w:rsid w:val="00634074"/>
    <w:rsid w:val="00636836"/>
    <w:rsid w:val="00640A91"/>
    <w:rsid w:val="006479F0"/>
    <w:rsid w:val="00661037"/>
    <w:rsid w:val="00666222"/>
    <w:rsid w:val="00667C5C"/>
    <w:rsid w:val="006758A0"/>
    <w:rsid w:val="00685526"/>
    <w:rsid w:val="00685F79"/>
    <w:rsid w:val="00690295"/>
    <w:rsid w:val="00691B9B"/>
    <w:rsid w:val="00693A63"/>
    <w:rsid w:val="0069498B"/>
    <w:rsid w:val="00694E91"/>
    <w:rsid w:val="00695BC3"/>
    <w:rsid w:val="006A0C7E"/>
    <w:rsid w:val="006A1346"/>
    <w:rsid w:val="006A1691"/>
    <w:rsid w:val="006A3705"/>
    <w:rsid w:val="006A4C27"/>
    <w:rsid w:val="006B7CA5"/>
    <w:rsid w:val="006D10DF"/>
    <w:rsid w:val="006D3926"/>
    <w:rsid w:val="006E0663"/>
    <w:rsid w:val="006E0870"/>
    <w:rsid w:val="006E59DB"/>
    <w:rsid w:val="006E7569"/>
    <w:rsid w:val="006E7CA1"/>
    <w:rsid w:val="006F0154"/>
    <w:rsid w:val="007102CF"/>
    <w:rsid w:val="00712F78"/>
    <w:rsid w:val="00713F34"/>
    <w:rsid w:val="00714424"/>
    <w:rsid w:val="00714E03"/>
    <w:rsid w:val="00716D9C"/>
    <w:rsid w:val="00721985"/>
    <w:rsid w:val="007230F2"/>
    <w:rsid w:val="007240AE"/>
    <w:rsid w:val="00732905"/>
    <w:rsid w:val="00733E65"/>
    <w:rsid w:val="00740CD0"/>
    <w:rsid w:val="00745883"/>
    <w:rsid w:val="00745CB2"/>
    <w:rsid w:val="007543D7"/>
    <w:rsid w:val="007547C1"/>
    <w:rsid w:val="00755F07"/>
    <w:rsid w:val="00764612"/>
    <w:rsid w:val="007703DD"/>
    <w:rsid w:val="00771333"/>
    <w:rsid w:val="007714D9"/>
    <w:rsid w:val="00771FC5"/>
    <w:rsid w:val="00773440"/>
    <w:rsid w:val="007738A4"/>
    <w:rsid w:val="00774707"/>
    <w:rsid w:val="007773C1"/>
    <w:rsid w:val="00777A7C"/>
    <w:rsid w:val="00777BDD"/>
    <w:rsid w:val="007919B7"/>
    <w:rsid w:val="007931B8"/>
    <w:rsid w:val="0079383F"/>
    <w:rsid w:val="00795742"/>
    <w:rsid w:val="007A0B36"/>
    <w:rsid w:val="007A1EC8"/>
    <w:rsid w:val="007A683A"/>
    <w:rsid w:val="007A6A99"/>
    <w:rsid w:val="007A75CB"/>
    <w:rsid w:val="007C2099"/>
    <w:rsid w:val="007C345C"/>
    <w:rsid w:val="007D2EA0"/>
    <w:rsid w:val="007D6205"/>
    <w:rsid w:val="007D6619"/>
    <w:rsid w:val="007E5A05"/>
    <w:rsid w:val="00803D00"/>
    <w:rsid w:val="008054EA"/>
    <w:rsid w:val="008136EA"/>
    <w:rsid w:val="00820764"/>
    <w:rsid w:val="00820A5E"/>
    <w:rsid w:val="00823248"/>
    <w:rsid w:val="00830CF3"/>
    <w:rsid w:val="008310E7"/>
    <w:rsid w:val="00833D1B"/>
    <w:rsid w:val="008433EC"/>
    <w:rsid w:val="0084709B"/>
    <w:rsid w:val="008519B7"/>
    <w:rsid w:val="00852777"/>
    <w:rsid w:val="00854A0D"/>
    <w:rsid w:val="00855796"/>
    <w:rsid w:val="0086241F"/>
    <w:rsid w:val="00867E8D"/>
    <w:rsid w:val="008719F3"/>
    <w:rsid w:val="00871B62"/>
    <w:rsid w:val="00881907"/>
    <w:rsid w:val="00882CDB"/>
    <w:rsid w:val="00884CFD"/>
    <w:rsid w:val="00891E71"/>
    <w:rsid w:val="00894F17"/>
    <w:rsid w:val="00896C48"/>
    <w:rsid w:val="0089782D"/>
    <w:rsid w:val="00897D4C"/>
    <w:rsid w:val="008A1B3A"/>
    <w:rsid w:val="008A36A4"/>
    <w:rsid w:val="008A6319"/>
    <w:rsid w:val="008B2B30"/>
    <w:rsid w:val="008B6DAE"/>
    <w:rsid w:val="008C1182"/>
    <w:rsid w:val="008C201A"/>
    <w:rsid w:val="008C2B42"/>
    <w:rsid w:val="008D421B"/>
    <w:rsid w:val="008E4102"/>
    <w:rsid w:val="008E4A33"/>
    <w:rsid w:val="008F0023"/>
    <w:rsid w:val="008F2424"/>
    <w:rsid w:val="008F3E0E"/>
    <w:rsid w:val="008F43FA"/>
    <w:rsid w:val="008F6808"/>
    <w:rsid w:val="00904D06"/>
    <w:rsid w:val="00906098"/>
    <w:rsid w:val="0091277F"/>
    <w:rsid w:val="0091473F"/>
    <w:rsid w:val="00915C0C"/>
    <w:rsid w:val="00923870"/>
    <w:rsid w:val="0093137F"/>
    <w:rsid w:val="00931E89"/>
    <w:rsid w:val="009423E8"/>
    <w:rsid w:val="0094676D"/>
    <w:rsid w:val="00950760"/>
    <w:rsid w:val="009536F0"/>
    <w:rsid w:val="00953B32"/>
    <w:rsid w:val="009543BD"/>
    <w:rsid w:val="009550F9"/>
    <w:rsid w:val="009561AF"/>
    <w:rsid w:val="00957F39"/>
    <w:rsid w:val="00966398"/>
    <w:rsid w:val="0097052F"/>
    <w:rsid w:val="009725C4"/>
    <w:rsid w:val="00975A44"/>
    <w:rsid w:val="00984D9E"/>
    <w:rsid w:val="00991090"/>
    <w:rsid w:val="00991763"/>
    <w:rsid w:val="009A6795"/>
    <w:rsid w:val="009A7E98"/>
    <w:rsid w:val="009B50B6"/>
    <w:rsid w:val="009B5B92"/>
    <w:rsid w:val="009C3894"/>
    <w:rsid w:val="009C74CA"/>
    <w:rsid w:val="009D31E7"/>
    <w:rsid w:val="009D4DBE"/>
    <w:rsid w:val="009E1DEB"/>
    <w:rsid w:val="009E74CD"/>
    <w:rsid w:val="009F2CA4"/>
    <w:rsid w:val="009F6FC4"/>
    <w:rsid w:val="009F7D44"/>
    <w:rsid w:val="00A00750"/>
    <w:rsid w:val="00A029D9"/>
    <w:rsid w:val="00A02C2D"/>
    <w:rsid w:val="00A039D3"/>
    <w:rsid w:val="00A11707"/>
    <w:rsid w:val="00A11BFA"/>
    <w:rsid w:val="00A16E5A"/>
    <w:rsid w:val="00A23DD1"/>
    <w:rsid w:val="00A27756"/>
    <w:rsid w:val="00A27C11"/>
    <w:rsid w:val="00A3325C"/>
    <w:rsid w:val="00A34313"/>
    <w:rsid w:val="00A36534"/>
    <w:rsid w:val="00A40738"/>
    <w:rsid w:val="00A43F0A"/>
    <w:rsid w:val="00A44B13"/>
    <w:rsid w:val="00A46F77"/>
    <w:rsid w:val="00A46FF4"/>
    <w:rsid w:val="00A479EB"/>
    <w:rsid w:val="00A52A65"/>
    <w:rsid w:val="00A55081"/>
    <w:rsid w:val="00A578D2"/>
    <w:rsid w:val="00A62C53"/>
    <w:rsid w:val="00A65A73"/>
    <w:rsid w:val="00A8078C"/>
    <w:rsid w:val="00A82CC8"/>
    <w:rsid w:val="00A87B97"/>
    <w:rsid w:val="00A909D5"/>
    <w:rsid w:val="00A90B42"/>
    <w:rsid w:val="00A90EC3"/>
    <w:rsid w:val="00A949E2"/>
    <w:rsid w:val="00AA2E4E"/>
    <w:rsid w:val="00AA3E5B"/>
    <w:rsid w:val="00AB1A71"/>
    <w:rsid w:val="00AB4A02"/>
    <w:rsid w:val="00AC1822"/>
    <w:rsid w:val="00AC3764"/>
    <w:rsid w:val="00AC73BA"/>
    <w:rsid w:val="00AD13CF"/>
    <w:rsid w:val="00AD5B0B"/>
    <w:rsid w:val="00AD765B"/>
    <w:rsid w:val="00AF0E88"/>
    <w:rsid w:val="00AF1760"/>
    <w:rsid w:val="00AF40E9"/>
    <w:rsid w:val="00AF4839"/>
    <w:rsid w:val="00AF4A38"/>
    <w:rsid w:val="00B01756"/>
    <w:rsid w:val="00B13D52"/>
    <w:rsid w:val="00B165B4"/>
    <w:rsid w:val="00B22C8C"/>
    <w:rsid w:val="00B268E7"/>
    <w:rsid w:val="00B32AF3"/>
    <w:rsid w:val="00B350FE"/>
    <w:rsid w:val="00B3562D"/>
    <w:rsid w:val="00B41A28"/>
    <w:rsid w:val="00B47AAC"/>
    <w:rsid w:val="00B51E1B"/>
    <w:rsid w:val="00B52541"/>
    <w:rsid w:val="00B5370E"/>
    <w:rsid w:val="00B55FFD"/>
    <w:rsid w:val="00B57F41"/>
    <w:rsid w:val="00B606DF"/>
    <w:rsid w:val="00B6105D"/>
    <w:rsid w:val="00B61BCE"/>
    <w:rsid w:val="00B65BEF"/>
    <w:rsid w:val="00B73D57"/>
    <w:rsid w:val="00B7416C"/>
    <w:rsid w:val="00B81F6C"/>
    <w:rsid w:val="00B8514C"/>
    <w:rsid w:val="00B97A34"/>
    <w:rsid w:val="00BA114D"/>
    <w:rsid w:val="00BA2070"/>
    <w:rsid w:val="00BA31A5"/>
    <w:rsid w:val="00BA418C"/>
    <w:rsid w:val="00BA5228"/>
    <w:rsid w:val="00BA6283"/>
    <w:rsid w:val="00BA6A61"/>
    <w:rsid w:val="00BC5FF8"/>
    <w:rsid w:val="00BD5050"/>
    <w:rsid w:val="00BD7CBD"/>
    <w:rsid w:val="00BE22DC"/>
    <w:rsid w:val="00BF6DF8"/>
    <w:rsid w:val="00C01D81"/>
    <w:rsid w:val="00C117E5"/>
    <w:rsid w:val="00C132E9"/>
    <w:rsid w:val="00C133C2"/>
    <w:rsid w:val="00C21D40"/>
    <w:rsid w:val="00C2210B"/>
    <w:rsid w:val="00C27095"/>
    <w:rsid w:val="00C30476"/>
    <w:rsid w:val="00C31AB4"/>
    <w:rsid w:val="00C35834"/>
    <w:rsid w:val="00C40631"/>
    <w:rsid w:val="00C66A69"/>
    <w:rsid w:val="00C71372"/>
    <w:rsid w:val="00C77F6F"/>
    <w:rsid w:val="00C80203"/>
    <w:rsid w:val="00C80371"/>
    <w:rsid w:val="00C82F19"/>
    <w:rsid w:val="00C85E33"/>
    <w:rsid w:val="00C90A5D"/>
    <w:rsid w:val="00C93BBD"/>
    <w:rsid w:val="00CA3D61"/>
    <w:rsid w:val="00CA4A07"/>
    <w:rsid w:val="00CB0D2E"/>
    <w:rsid w:val="00CB4229"/>
    <w:rsid w:val="00CB66F2"/>
    <w:rsid w:val="00CC2914"/>
    <w:rsid w:val="00CC2DA1"/>
    <w:rsid w:val="00CC3481"/>
    <w:rsid w:val="00CC3CCA"/>
    <w:rsid w:val="00CC75E4"/>
    <w:rsid w:val="00CD3BB8"/>
    <w:rsid w:val="00CE3C86"/>
    <w:rsid w:val="00CE5750"/>
    <w:rsid w:val="00CE61F5"/>
    <w:rsid w:val="00CE6AA5"/>
    <w:rsid w:val="00CF2A4D"/>
    <w:rsid w:val="00CF604A"/>
    <w:rsid w:val="00D02A72"/>
    <w:rsid w:val="00D036AE"/>
    <w:rsid w:val="00D07F7D"/>
    <w:rsid w:val="00D1731B"/>
    <w:rsid w:val="00D223DA"/>
    <w:rsid w:val="00D22472"/>
    <w:rsid w:val="00D235D6"/>
    <w:rsid w:val="00D34A46"/>
    <w:rsid w:val="00D37FE7"/>
    <w:rsid w:val="00D4286D"/>
    <w:rsid w:val="00D576C4"/>
    <w:rsid w:val="00D579E0"/>
    <w:rsid w:val="00D62FC8"/>
    <w:rsid w:val="00D648DC"/>
    <w:rsid w:val="00D65B54"/>
    <w:rsid w:val="00D73274"/>
    <w:rsid w:val="00D741E7"/>
    <w:rsid w:val="00D810F4"/>
    <w:rsid w:val="00DA1468"/>
    <w:rsid w:val="00DB0BEC"/>
    <w:rsid w:val="00DB354C"/>
    <w:rsid w:val="00DB3BAB"/>
    <w:rsid w:val="00DB784B"/>
    <w:rsid w:val="00DC7A20"/>
    <w:rsid w:val="00DE2270"/>
    <w:rsid w:val="00DE68CB"/>
    <w:rsid w:val="00DF42FE"/>
    <w:rsid w:val="00E02316"/>
    <w:rsid w:val="00E128BD"/>
    <w:rsid w:val="00E14B59"/>
    <w:rsid w:val="00E1554B"/>
    <w:rsid w:val="00E15643"/>
    <w:rsid w:val="00E16974"/>
    <w:rsid w:val="00E21EC7"/>
    <w:rsid w:val="00E253E6"/>
    <w:rsid w:val="00E2596A"/>
    <w:rsid w:val="00E25A2B"/>
    <w:rsid w:val="00E260A7"/>
    <w:rsid w:val="00E33EFD"/>
    <w:rsid w:val="00E52086"/>
    <w:rsid w:val="00E55954"/>
    <w:rsid w:val="00E57A69"/>
    <w:rsid w:val="00E72956"/>
    <w:rsid w:val="00E813FD"/>
    <w:rsid w:val="00E83EA1"/>
    <w:rsid w:val="00E85B4D"/>
    <w:rsid w:val="00E91984"/>
    <w:rsid w:val="00E943A0"/>
    <w:rsid w:val="00E944F3"/>
    <w:rsid w:val="00E97E50"/>
    <w:rsid w:val="00EA164B"/>
    <w:rsid w:val="00EA68A9"/>
    <w:rsid w:val="00EB304A"/>
    <w:rsid w:val="00EC1204"/>
    <w:rsid w:val="00EC2936"/>
    <w:rsid w:val="00EC771F"/>
    <w:rsid w:val="00ED23E8"/>
    <w:rsid w:val="00ED496D"/>
    <w:rsid w:val="00ED6AB7"/>
    <w:rsid w:val="00EE276B"/>
    <w:rsid w:val="00EE4969"/>
    <w:rsid w:val="00EE5854"/>
    <w:rsid w:val="00EF0EFD"/>
    <w:rsid w:val="00EF4709"/>
    <w:rsid w:val="00EF6118"/>
    <w:rsid w:val="00F03BA4"/>
    <w:rsid w:val="00F04F14"/>
    <w:rsid w:val="00F103B0"/>
    <w:rsid w:val="00F104CC"/>
    <w:rsid w:val="00F10893"/>
    <w:rsid w:val="00F2546B"/>
    <w:rsid w:val="00F3014F"/>
    <w:rsid w:val="00F3452F"/>
    <w:rsid w:val="00F36647"/>
    <w:rsid w:val="00F4197F"/>
    <w:rsid w:val="00F44DE6"/>
    <w:rsid w:val="00F45489"/>
    <w:rsid w:val="00F47E00"/>
    <w:rsid w:val="00F5202E"/>
    <w:rsid w:val="00F62960"/>
    <w:rsid w:val="00F64239"/>
    <w:rsid w:val="00F64DB3"/>
    <w:rsid w:val="00F66E5D"/>
    <w:rsid w:val="00F72023"/>
    <w:rsid w:val="00F741A2"/>
    <w:rsid w:val="00F77657"/>
    <w:rsid w:val="00F83344"/>
    <w:rsid w:val="00F8798F"/>
    <w:rsid w:val="00F94460"/>
    <w:rsid w:val="00FA1F5A"/>
    <w:rsid w:val="00FA453E"/>
    <w:rsid w:val="00FA572D"/>
    <w:rsid w:val="00FB145C"/>
    <w:rsid w:val="00FC0A86"/>
    <w:rsid w:val="00FC3A45"/>
    <w:rsid w:val="00FC6A67"/>
    <w:rsid w:val="00FC6B86"/>
    <w:rsid w:val="00FE1125"/>
    <w:rsid w:val="00FF3774"/>
    <w:rsid w:val="030B5364"/>
    <w:rsid w:val="045B26AD"/>
    <w:rsid w:val="06D0121B"/>
    <w:rsid w:val="0A4807B4"/>
    <w:rsid w:val="0A794DC8"/>
    <w:rsid w:val="0A8F1A98"/>
    <w:rsid w:val="0C7C2DCA"/>
    <w:rsid w:val="104F6E8B"/>
    <w:rsid w:val="123E1817"/>
    <w:rsid w:val="1B57244D"/>
    <w:rsid w:val="1C5547B5"/>
    <w:rsid w:val="1E865693"/>
    <w:rsid w:val="21E45130"/>
    <w:rsid w:val="2A4531F0"/>
    <w:rsid w:val="372A62DE"/>
    <w:rsid w:val="387758ED"/>
    <w:rsid w:val="3A960F1D"/>
    <w:rsid w:val="41586E89"/>
    <w:rsid w:val="49CD133B"/>
    <w:rsid w:val="4A5B1CAC"/>
    <w:rsid w:val="4E380C82"/>
    <w:rsid w:val="4FE275D6"/>
    <w:rsid w:val="51B434D6"/>
    <w:rsid w:val="5A561537"/>
    <w:rsid w:val="5E4250E2"/>
    <w:rsid w:val="6077021E"/>
    <w:rsid w:val="687C2684"/>
    <w:rsid w:val="689552D3"/>
    <w:rsid w:val="6C2677A2"/>
    <w:rsid w:val="755B1D28"/>
    <w:rsid w:val="798D14DA"/>
    <w:rsid w:val="7B434DDE"/>
    <w:rsid w:val="7CDD3147"/>
    <w:rsid w:val="7EC1278D"/>
    <w:rsid w:val="7FEF65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4"/>
    <w:qFormat/>
    <w:uiPriority w:val="9"/>
    <w:pPr>
      <w:keepNext/>
      <w:keepLines/>
      <w:spacing w:before="340" w:after="330" w:line="578" w:lineRule="auto"/>
      <w:outlineLvl w:val="0"/>
    </w:pPr>
    <w:rPr>
      <w:b/>
      <w:bCs/>
      <w:kern w:val="44"/>
      <w:sz w:val="44"/>
      <w:szCs w:val="44"/>
    </w:rPr>
  </w:style>
  <w:style w:type="character" w:default="1" w:styleId="10">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3">
    <w:name w:val="annotation text"/>
    <w:basedOn w:val="1"/>
    <w:link w:val="20"/>
    <w:unhideWhenUsed/>
    <w:qFormat/>
    <w:uiPriority w:val="99"/>
    <w:pPr>
      <w:spacing w:line="360" w:lineRule="auto"/>
      <w:ind w:firstLine="200" w:firstLineChars="200"/>
      <w:jc w:val="left"/>
    </w:pPr>
    <w:rPr>
      <w:rFonts w:ascii="Times New Roman" w:hAnsi="Times New Roman" w:eastAsia="宋体"/>
    </w:rPr>
  </w:style>
  <w:style w:type="paragraph" w:styleId="4">
    <w:name w:val="footer"/>
    <w:basedOn w:val="1"/>
    <w:link w:val="16"/>
    <w:unhideWhenUsed/>
    <w:qFormat/>
    <w:uiPriority w:val="99"/>
    <w:pPr>
      <w:tabs>
        <w:tab w:val="center" w:pos="4153"/>
        <w:tab w:val="right" w:pos="8306"/>
      </w:tabs>
      <w:snapToGrid w:val="0"/>
      <w:jc w:val="left"/>
    </w:pPr>
    <w:rPr>
      <w:sz w:val="18"/>
      <w:szCs w:val="18"/>
    </w:rPr>
  </w:style>
  <w:style w:type="paragraph" w:styleId="5">
    <w:name w:val="header"/>
    <w:basedOn w:val="1"/>
    <w:link w:val="15"/>
    <w:unhideWhenUsed/>
    <w:qFormat/>
    <w:uiPriority w:val="99"/>
    <w:pPr>
      <w:tabs>
        <w:tab w:val="center" w:pos="4153"/>
        <w:tab w:val="right" w:pos="8306"/>
      </w:tabs>
      <w:snapToGrid w:val="0"/>
      <w:jc w:val="center"/>
    </w:pPr>
    <w:rPr>
      <w:sz w:val="18"/>
      <w:szCs w:val="18"/>
    </w:rPr>
  </w:style>
  <w:style w:type="paragraph" w:styleId="6">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szCs w:val="24"/>
    </w:rPr>
  </w:style>
  <w:style w:type="paragraph" w:styleId="7">
    <w:name w:val="annotation subject"/>
    <w:basedOn w:val="3"/>
    <w:next w:val="3"/>
    <w:link w:val="26"/>
    <w:semiHidden/>
    <w:unhideWhenUsed/>
    <w:qFormat/>
    <w:uiPriority w:val="99"/>
    <w:pPr>
      <w:spacing w:line="240" w:lineRule="auto"/>
      <w:ind w:firstLine="0" w:firstLineChars="0"/>
    </w:pPr>
    <w:rPr>
      <w:rFonts w:asciiTheme="minorHAnsi" w:hAnsiTheme="minorHAnsi" w:eastAsiaTheme="minorEastAsia"/>
      <w:b/>
      <w:bCs/>
    </w:rPr>
  </w:style>
  <w:style w:type="table" w:styleId="9">
    <w:name w:val="Table Grid"/>
    <w:basedOn w:val="8"/>
    <w:qFormat/>
    <w:uiPriority w:val="0"/>
    <w:rPr>
      <w:rFonts w:ascii="等线" w:hAnsi="等线" w:eastAsia="等线" w:cs="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22"/>
    <w:rPr>
      <w:b/>
    </w:rPr>
  </w:style>
  <w:style w:type="character" w:styleId="12">
    <w:name w:val="Emphasis"/>
    <w:basedOn w:val="10"/>
    <w:qFormat/>
    <w:uiPriority w:val="20"/>
    <w:rPr>
      <w:i/>
    </w:rPr>
  </w:style>
  <w:style w:type="character" w:styleId="13">
    <w:name w:val="Hyperlink"/>
    <w:basedOn w:val="10"/>
    <w:unhideWhenUsed/>
    <w:qFormat/>
    <w:uiPriority w:val="99"/>
    <w:rPr>
      <w:color w:val="0563C1" w:themeColor="hyperlink"/>
      <w:u w:val="single"/>
      <w14:textFill>
        <w14:solidFill>
          <w14:schemeClr w14:val="hlink"/>
        </w14:solidFill>
      </w14:textFill>
    </w:rPr>
  </w:style>
  <w:style w:type="character" w:styleId="14">
    <w:name w:val="annotation reference"/>
    <w:basedOn w:val="10"/>
    <w:unhideWhenUsed/>
    <w:qFormat/>
    <w:uiPriority w:val="99"/>
    <w:rPr>
      <w:sz w:val="21"/>
      <w:szCs w:val="21"/>
    </w:rPr>
  </w:style>
  <w:style w:type="character" w:customStyle="1" w:styleId="15">
    <w:name w:val="页眉 字符"/>
    <w:basedOn w:val="10"/>
    <w:link w:val="5"/>
    <w:qFormat/>
    <w:uiPriority w:val="99"/>
    <w:rPr>
      <w:sz w:val="18"/>
      <w:szCs w:val="18"/>
    </w:rPr>
  </w:style>
  <w:style w:type="character" w:customStyle="1" w:styleId="16">
    <w:name w:val="页脚 字符"/>
    <w:basedOn w:val="10"/>
    <w:link w:val="4"/>
    <w:qFormat/>
    <w:uiPriority w:val="99"/>
    <w:rPr>
      <w:sz w:val="18"/>
      <w:szCs w:val="18"/>
    </w:rPr>
  </w:style>
  <w:style w:type="table" w:customStyle="1" w:styleId="17">
    <w:name w:val="网格型2"/>
    <w:basedOn w:val="8"/>
    <w:qFormat/>
    <w:uiPriority w:val="39"/>
    <w:rPr>
      <w:rFonts w:ascii="等线" w:hAnsi="等线" w:eastAsia="等线" w:cs="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Placeholder Text"/>
    <w:basedOn w:val="10"/>
    <w:semiHidden/>
    <w:qFormat/>
    <w:uiPriority w:val="99"/>
    <w:rPr>
      <w:color w:val="808080"/>
    </w:rPr>
  </w:style>
  <w:style w:type="table" w:customStyle="1" w:styleId="19">
    <w:name w:val="网格型1"/>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0">
    <w:name w:val="批注文字 字符"/>
    <w:basedOn w:val="10"/>
    <w:link w:val="3"/>
    <w:qFormat/>
    <w:uiPriority w:val="99"/>
    <w:rPr>
      <w:rFonts w:ascii="Times New Roman" w:hAnsi="Times New Roman" w:eastAsia="宋体"/>
    </w:rPr>
  </w:style>
  <w:style w:type="table" w:customStyle="1" w:styleId="21">
    <w:name w:val="网格型3"/>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List Paragraph"/>
    <w:basedOn w:val="1"/>
    <w:qFormat/>
    <w:uiPriority w:val="34"/>
    <w:pPr>
      <w:ind w:firstLine="420" w:firstLineChars="200"/>
    </w:pPr>
  </w:style>
  <w:style w:type="character" w:customStyle="1" w:styleId="23">
    <w:name w:val="未处理的提及1"/>
    <w:basedOn w:val="10"/>
    <w:semiHidden/>
    <w:unhideWhenUsed/>
    <w:qFormat/>
    <w:uiPriority w:val="99"/>
    <w:rPr>
      <w:color w:val="605E5C"/>
      <w:shd w:val="clear" w:color="auto" w:fill="E1DFDD"/>
    </w:rPr>
  </w:style>
  <w:style w:type="character" w:customStyle="1" w:styleId="24">
    <w:name w:val="标题 1 字符"/>
    <w:basedOn w:val="10"/>
    <w:link w:val="2"/>
    <w:qFormat/>
    <w:uiPriority w:val="9"/>
    <w:rPr>
      <w:b/>
      <w:bCs/>
      <w:kern w:val="44"/>
      <w:sz w:val="44"/>
      <w:szCs w:val="44"/>
    </w:rPr>
  </w:style>
  <w:style w:type="paragraph" w:customStyle="1" w:styleId="25">
    <w:name w:val="修订1"/>
    <w:hidden/>
    <w:unhideWhenUsed/>
    <w:qFormat/>
    <w:uiPriority w:val="99"/>
    <w:rPr>
      <w:rFonts w:asciiTheme="minorHAnsi" w:hAnsiTheme="minorHAnsi" w:eastAsiaTheme="minorEastAsia" w:cstheme="minorBidi"/>
      <w:kern w:val="2"/>
      <w:sz w:val="21"/>
      <w:szCs w:val="22"/>
      <w:lang w:val="en-US" w:eastAsia="zh-CN" w:bidi="ar-SA"/>
    </w:rPr>
  </w:style>
  <w:style w:type="character" w:customStyle="1" w:styleId="26">
    <w:name w:val="批注主题 字符"/>
    <w:basedOn w:val="20"/>
    <w:link w:val="7"/>
    <w:semiHidden/>
    <w:qFormat/>
    <w:uiPriority w:val="99"/>
    <w:rPr>
      <w:rFonts w:asciiTheme="minorHAnsi" w:hAnsiTheme="minorHAnsi" w:eastAsiaTheme="minorEastAsia" w:cstheme="minorBidi"/>
      <w:b/>
      <w:bCs/>
      <w:kern w:val="2"/>
      <w:sz w:val="21"/>
      <w:szCs w:val="22"/>
    </w:rPr>
  </w:style>
  <w:style w:type="paragraph" w:customStyle="1" w:styleId="27">
    <w:name w:val="Revision"/>
    <w:hidden/>
    <w:unhideWhenUsed/>
    <w:uiPriority w:val="99"/>
    <w:rPr>
      <w:rFonts w:asciiTheme="minorHAnsi" w:hAnsiTheme="minorHAnsi" w:eastAsiaTheme="minorEastAsia" w:cstheme="minorBidi"/>
      <w:kern w:val="2"/>
      <w:sz w:val="21"/>
      <w:szCs w:val="22"/>
      <w:lang w:val="en-US" w:eastAsia="zh-CN" w:bidi="ar-SA"/>
    </w:rPr>
  </w:style>
  <w:style w:type="paragraph" w:customStyle="1" w:styleId="28">
    <w:name w:val="Method Heading"/>
    <w:uiPriority w:val="0"/>
    <w:pPr>
      <w:spacing w:after="160" w:line="276" w:lineRule="auto"/>
    </w:pPr>
    <w:rPr>
      <w:rFonts w:ascii="Times New Roman" w:hAnsi="Times New Roman" w:eastAsia="黑体" w:cstheme="minorBidi"/>
      <w:b/>
      <w:sz w:val="24"/>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tiff"/><Relationship Id="rId8" Type="http://schemas.openxmlformats.org/officeDocument/2006/relationships/image" Target="media/image2.wmf"/><Relationship Id="rId7" Type="http://schemas.openxmlformats.org/officeDocument/2006/relationships/oleObject" Target="embeddings/oleObject2.bin"/><Relationship Id="rId6" Type="http://schemas.openxmlformats.org/officeDocument/2006/relationships/image" Target="media/image1.wmf"/><Relationship Id="rId5" Type="http://schemas.openxmlformats.org/officeDocument/2006/relationships/oleObject" Target="embeddings/oleObject1.bin"/><Relationship Id="rId4" Type="http://schemas.openxmlformats.org/officeDocument/2006/relationships/theme" Target="theme/theme1.xml"/><Relationship Id="rId3" Type="http://schemas.openxmlformats.org/officeDocument/2006/relationships/footer" Target="footer1.xml"/><Relationship Id="rId22" Type="http://schemas.openxmlformats.org/officeDocument/2006/relationships/glossaryDocument" Target="glossary/document.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3.tiff"/><Relationship Id="rId18" Type="http://schemas.openxmlformats.org/officeDocument/2006/relationships/image" Target="media/image12.tiff"/><Relationship Id="rId17" Type="http://schemas.openxmlformats.org/officeDocument/2006/relationships/image" Target="media/image11.tiff"/><Relationship Id="rId16" Type="http://schemas.openxmlformats.org/officeDocument/2006/relationships/image" Target="media/image10.tiff"/><Relationship Id="rId15" Type="http://schemas.openxmlformats.org/officeDocument/2006/relationships/image" Target="media/image9.tiff"/><Relationship Id="rId14" Type="http://schemas.openxmlformats.org/officeDocument/2006/relationships/image" Target="media/image8.tiff"/><Relationship Id="rId13" Type="http://schemas.openxmlformats.org/officeDocument/2006/relationships/image" Target="media/image7.tiff"/><Relationship Id="rId12" Type="http://schemas.openxmlformats.org/officeDocument/2006/relationships/image" Target="media/image6.tiff"/><Relationship Id="rId11" Type="http://schemas.openxmlformats.org/officeDocument/2006/relationships/image" Target="media/image5.tiff"/><Relationship Id="rId10" Type="http://schemas.openxmlformats.org/officeDocument/2006/relationships/image" Target="media/image4.tiff"/><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6FBA58DD5B7D4ADFB45BD72B131B0037"/>
        <w:style w:val=""/>
        <w:category>
          <w:name w:val="常规"/>
          <w:gallery w:val="placeholder"/>
        </w:category>
        <w:types>
          <w:type w:val="bbPlcHdr"/>
        </w:types>
        <w:behaviors>
          <w:behavior w:val="content"/>
        </w:behaviors>
        <w:description w:val=""/>
        <w:guid w:val="{0F6D06B3-D9D8-4C4F-9A8E-55B604DAF3FC}"/>
      </w:docPartPr>
      <w:docPartBody>
        <w:p w14:paraId="7311D3DC">
          <w:pPr>
            <w:pStyle w:val="5"/>
            <w:rPr>
              <w:rFonts w:hint="eastAsia"/>
            </w:rPr>
          </w:pPr>
          <w:r>
            <w:rPr>
              <w:rStyle w:val="4"/>
              <w:rFonts w:hint="eastAsia"/>
            </w:rPr>
            <w:t>单击或点击此处输入文字。</w:t>
          </w:r>
        </w:p>
      </w:docPartBody>
    </w:docPart>
    <w:docPart>
      <w:docPartPr>
        <w:name w:val="46BAF43A472E4DD787AD0A2C41F4A3DF"/>
        <w:style w:val=""/>
        <w:category>
          <w:name w:val="常规"/>
          <w:gallery w:val="placeholder"/>
        </w:category>
        <w:types>
          <w:type w:val="bbPlcHdr"/>
        </w:types>
        <w:behaviors>
          <w:behavior w:val="content"/>
        </w:behaviors>
        <w:description w:val=""/>
        <w:guid w:val="{178AE967-3138-4CD2-8F77-988F175E770A}"/>
      </w:docPartPr>
      <w:docPartBody>
        <w:p w14:paraId="79F69520">
          <w:pPr>
            <w:pStyle w:val="6"/>
            <w:rPr>
              <w:rFonts w:hint="eastAsia"/>
            </w:rPr>
          </w:pPr>
          <w:r>
            <w:rPr>
              <w:rStyle w:val="4"/>
              <w:rFonts w:hint="eastAsia"/>
            </w:rPr>
            <w:t>单击或点击此处输入文字。</w:t>
          </w:r>
        </w:p>
      </w:docPartBody>
    </w:docPart>
    <w:docPart>
      <w:docPartPr>
        <w:name w:val="E568753D1101497FBD106FFEA9DC8A7D"/>
        <w:style w:val=""/>
        <w:category>
          <w:name w:val="常规"/>
          <w:gallery w:val="placeholder"/>
        </w:category>
        <w:types>
          <w:type w:val="bbPlcHdr"/>
        </w:types>
        <w:behaviors>
          <w:behavior w:val="content"/>
        </w:behaviors>
        <w:description w:val=""/>
        <w:guid w:val="{7AA81BDC-DB46-40E4-A6C6-D0E1F0E16BFC}"/>
      </w:docPartPr>
      <w:docPartBody>
        <w:p w14:paraId="6E0B794D">
          <w:pPr>
            <w:pStyle w:val="7"/>
            <w:rPr>
              <w:rFonts w:hint="eastAsia"/>
            </w:rPr>
          </w:pPr>
          <w:r>
            <w:rPr>
              <w:rStyle w:val="4"/>
              <w:rFonts w:hint="eastAsia"/>
            </w:rPr>
            <w:t>单击或点击此处输入文字。</w:t>
          </w:r>
        </w:p>
      </w:docPartBody>
    </w:docPart>
    <w:docPart>
      <w:docPartPr>
        <w:name w:val="714C4C21B78346219485B99643A6A12A"/>
        <w:style w:val=""/>
        <w:category>
          <w:name w:val="常规"/>
          <w:gallery w:val="placeholder"/>
        </w:category>
        <w:types>
          <w:type w:val="bbPlcHdr"/>
        </w:types>
        <w:behaviors>
          <w:behavior w:val="content"/>
        </w:behaviors>
        <w:description w:val=""/>
        <w:guid w:val="{169C1B31-0F29-40C7-A458-70154F30C28D}"/>
      </w:docPartPr>
      <w:docPartBody>
        <w:p w14:paraId="63C28A22">
          <w:pPr>
            <w:pStyle w:val="8"/>
            <w:rPr>
              <w:rFonts w:hint="eastAsia"/>
            </w:rPr>
          </w:pPr>
          <w:r>
            <w:rPr>
              <w:rStyle w:val="4"/>
              <w:rFonts w:hint="eastAsia"/>
            </w:rPr>
            <w:t>单击或点击此处输入文字。</w:t>
          </w:r>
        </w:p>
      </w:docPartBody>
    </w:docPart>
    <w:docPart>
      <w:docPartPr>
        <w:name w:val="F34F7BE7574141F8BEE799E60D18EABC"/>
        <w:style w:val=""/>
        <w:category>
          <w:name w:val="常规"/>
          <w:gallery w:val="placeholder"/>
        </w:category>
        <w:types>
          <w:type w:val="bbPlcHdr"/>
        </w:types>
        <w:behaviors>
          <w:behavior w:val="content"/>
        </w:behaviors>
        <w:description w:val=""/>
        <w:guid w:val="{C00C0B1F-9286-4CEC-ACAC-B9197C53C945}"/>
      </w:docPartPr>
      <w:docPartBody>
        <w:p w14:paraId="408E9447">
          <w:pPr>
            <w:pStyle w:val="9"/>
            <w:rPr>
              <w:rFonts w:hint="eastAsia"/>
            </w:rPr>
          </w:pPr>
          <w:r>
            <w:rPr>
              <w:rStyle w:val="4"/>
              <w:rFonts w:hint="eastAsia"/>
            </w:rPr>
            <w:t>单击或点击此处输入文字。</w:t>
          </w:r>
        </w:p>
      </w:docPartBody>
    </w:docPart>
    <w:docPart>
      <w:docPartPr>
        <w:name w:val="DefaultPlaceholder_-1854013440"/>
        <w:style w:val=""/>
        <w:category>
          <w:name w:val="常规"/>
          <w:gallery w:val="placeholder"/>
        </w:category>
        <w:types>
          <w:type w:val="bbPlcHdr"/>
        </w:types>
        <w:behaviors>
          <w:behavior w:val="content"/>
        </w:behaviors>
        <w:description w:val=""/>
        <w:guid w:val="{3B273AFE-8502-4262-8768-84B92843A6F7}"/>
      </w:docPartPr>
      <w:docPartBody>
        <w:p w14:paraId="531D32E9">
          <w:pPr>
            <w:rPr>
              <w:rFonts w:hint="eastAsia"/>
            </w:rPr>
          </w:pPr>
          <w:r>
            <w:rPr>
              <w:rStyle w:val="4"/>
            </w:rPr>
            <w:t>单击或点击此处输入文字。</w:t>
          </w:r>
        </w:p>
      </w:docPartBody>
    </w:docPart>
    <w:docPart>
      <w:docPartPr>
        <w:name w:val="DF504A3E7C0A4CB9ABB5251906177BFB"/>
        <w:style w:val=""/>
        <w:category>
          <w:name w:val="常规"/>
          <w:gallery w:val="placeholder"/>
        </w:category>
        <w:types>
          <w:type w:val="bbPlcHdr"/>
        </w:types>
        <w:behaviors>
          <w:behavior w:val="content"/>
        </w:behaviors>
        <w:description w:val=""/>
        <w:guid w:val="{0F6069C2-1D83-48F6-A98F-A54DD078EC73}"/>
      </w:docPartPr>
      <w:docPartBody>
        <w:p w14:paraId="3D218C75">
          <w:pPr>
            <w:pStyle w:val="10"/>
            <w:rPr>
              <w:rFonts w:hint="eastAsia"/>
            </w:rPr>
          </w:pPr>
          <w:r>
            <w:rPr>
              <w:rStyle w:val="4"/>
              <w:rFonts w:hint="eastAsia"/>
            </w:rPr>
            <w:t>单击或点击此处输入文字。</w:t>
          </w:r>
        </w:p>
      </w:docPartBody>
    </w:docPart>
    <w:docPart>
      <w:docPartPr>
        <w:name w:val="C10CD6834AC34A5FACB5FC18D613C201"/>
        <w:style w:val=""/>
        <w:category>
          <w:name w:val="常规"/>
          <w:gallery w:val="placeholder"/>
        </w:category>
        <w:types>
          <w:type w:val="bbPlcHdr"/>
        </w:types>
        <w:behaviors>
          <w:behavior w:val="content"/>
        </w:behaviors>
        <w:description w:val=""/>
        <w:guid w:val="{C28D64D7-0853-42B2-AC7F-3BB25204C82B}"/>
      </w:docPartPr>
      <w:docPartBody>
        <w:p w14:paraId="3D3CC6D5">
          <w:pPr>
            <w:pStyle w:val="11"/>
            <w:rPr>
              <w:rFonts w:hint="eastAsia"/>
            </w:rPr>
          </w:pPr>
          <w:r>
            <w:rPr>
              <w:rStyle w:val="4"/>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5727"/>
    <w:rsid w:val="00004501"/>
    <w:rsid w:val="0002000B"/>
    <w:rsid w:val="00031522"/>
    <w:rsid w:val="00042A0B"/>
    <w:rsid w:val="00044290"/>
    <w:rsid w:val="00055E5E"/>
    <w:rsid w:val="000579E6"/>
    <w:rsid w:val="00085CD8"/>
    <w:rsid w:val="000A1399"/>
    <w:rsid w:val="000B1DB4"/>
    <w:rsid w:val="000C5727"/>
    <w:rsid w:val="000C5D56"/>
    <w:rsid w:val="000E795E"/>
    <w:rsid w:val="0011289B"/>
    <w:rsid w:val="0012130B"/>
    <w:rsid w:val="00124B19"/>
    <w:rsid w:val="00140CEF"/>
    <w:rsid w:val="00146D86"/>
    <w:rsid w:val="001537B6"/>
    <w:rsid w:val="00163890"/>
    <w:rsid w:val="00164616"/>
    <w:rsid w:val="001666BF"/>
    <w:rsid w:val="00167088"/>
    <w:rsid w:val="001A716B"/>
    <w:rsid w:val="001A73DD"/>
    <w:rsid w:val="001D2C7E"/>
    <w:rsid w:val="001D2FD8"/>
    <w:rsid w:val="001F16C0"/>
    <w:rsid w:val="001F36DB"/>
    <w:rsid w:val="00237A09"/>
    <w:rsid w:val="00247EDD"/>
    <w:rsid w:val="00251FF8"/>
    <w:rsid w:val="00256ABA"/>
    <w:rsid w:val="0026490F"/>
    <w:rsid w:val="002855D5"/>
    <w:rsid w:val="002877E8"/>
    <w:rsid w:val="00297C7A"/>
    <w:rsid w:val="002E729C"/>
    <w:rsid w:val="002F169F"/>
    <w:rsid w:val="0030553A"/>
    <w:rsid w:val="003152DC"/>
    <w:rsid w:val="003225F7"/>
    <w:rsid w:val="003A0A52"/>
    <w:rsid w:val="003A0D16"/>
    <w:rsid w:val="003B769C"/>
    <w:rsid w:val="004018A0"/>
    <w:rsid w:val="00413766"/>
    <w:rsid w:val="00435B02"/>
    <w:rsid w:val="00442CB8"/>
    <w:rsid w:val="00470C53"/>
    <w:rsid w:val="004871F0"/>
    <w:rsid w:val="0049339E"/>
    <w:rsid w:val="004B7981"/>
    <w:rsid w:val="004D0C07"/>
    <w:rsid w:val="004D25C6"/>
    <w:rsid w:val="0051421A"/>
    <w:rsid w:val="005160DA"/>
    <w:rsid w:val="0055306D"/>
    <w:rsid w:val="00572E31"/>
    <w:rsid w:val="00581E40"/>
    <w:rsid w:val="005904AF"/>
    <w:rsid w:val="005D0A3C"/>
    <w:rsid w:val="005D78F9"/>
    <w:rsid w:val="005E0C15"/>
    <w:rsid w:val="005E32BD"/>
    <w:rsid w:val="005E6C98"/>
    <w:rsid w:val="005E7918"/>
    <w:rsid w:val="00632A75"/>
    <w:rsid w:val="00643FED"/>
    <w:rsid w:val="00666222"/>
    <w:rsid w:val="00685F79"/>
    <w:rsid w:val="0069220F"/>
    <w:rsid w:val="0069498B"/>
    <w:rsid w:val="006C5F23"/>
    <w:rsid w:val="006F7EF2"/>
    <w:rsid w:val="0070156A"/>
    <w:rsid w:val="00714424"/>
    <w:rsid w:val="007245FC"/>
    <w:rsid w:val="00726031"/>
    <w:rsid w:val="007307F4"/>
    <w:rsid w:val="00742B11"/>
    <w:rsid w:val="00762301"/>
    <w:rsid w:val="007A1EC8"/>
    <w:rsid w:val="007A6A99"/>
    <w:rsid w:val="007C708E"/>
    <w:rsid w:val="007C7DD1"/>
    <w:rsid w:val="007D565E"/>
    <w:rsid w:val="00803D00"/>
    <w:rsid w:val="008054EA"/>
    <w:rsid w:val="00814AFD"/>
    <w:rsid w:val="0084709B"/>
    <w:rsid w:val="0087722E"/>
    <w:rsid w:val="00894F17"/>
    <w:rsid w:val="0089782D"/>
    <w:rsid w:val="008A407E"/>
    <w:rsid w:val="008A6032"/>
    <w:rsid w:val="008B69C3"/>
    <w:rsid w:val="008D7D1E"/>
    <w:rsid w:val="00915C0C"/>
    <w:rsid w:val="0093137F"/>
    <w:rsid w:val="00932420"/>
    <w:rsid w:val="0094046A"/>
    <w:rsid w:val="0096703A"/>
    <w:rsid w:val="0097052F"/>
    <w:rsid w:val="009727EA"/>
    <w:rsid w:val="00991763"/>
    <w:rsid w:val="009C551F"/>
    <w:rsid w:val="009D468E"/>
    <w:rsid w:val="009F7D44"/>
    <w:rsid w:val="00A0043E"/>
    <w:rsid w:val="00A039D3"/>
    <w:rsid w:val="00A11BFA"/>
    <w:rsid w:val="00A3325C"/>
    <w:rsid w:val="00A43F0A"/>
    <w:rsid w:val="00A55081"/>
    <w:rsid w:val="00A82CC8"/>
    <w:rsid w:val="00AA046F"/>
    <w:rsid w:val="00AC12D2"/>
    <w:rsid w:val="00AD765B"/>
    <w:rsid w:val="00B350FE"/>
    <w:rsid w:val="00B377AB"/>
    <w:rsid w:val="00B55FFD"/>
    <w:rsid w:val="00B73D57"/>
    <w:rsid w:val="00B77B9F"/>
    <w:rsid w:val="00B9630C"/>
    <w:rsid w:val="00B97A34"/>
    <w:rsid w:val="00BA6A61"/>
    <w:rsid w:val="00BC084F"/>
    <w:rsid w:val="00C211E8"/>
    <w:rsid w:val="00C272C3"/>
    <w:rsid w:val="00C27A8B"/>
    <w:rsid w:val="00C362DB"/>
    <w:rsid w:val="00C47A67"/>
    <w:rsid w:val="00C77F6F"/>
    <w:rsid w:val="00C82F19"/>
    <w:rsid w:val="00C85967"/>
    <w:rsid w:val="00CA0271"/>
    <w:rsid w:val="00CE6AA5"/>
    <w:rsid w:val="00CF525F"/>
    <w:rsid w:val="00D228BE"/>
    <w:rsid w:val="00D4057C"/>
    <w:rsid w:val="00D4286D"/>
    <w:rsid w:val="00D45CC9"/>
    <w:rsid w:val="00D51F10"/>
    <w:rsid w:val="00D65B54"/>
    <w:rsid w:val="00DA1468"/>
    <w:rsid w:val="00DB354C"/>
    <w:rsid w:val="00DC380F"/>
    <w:rsid w:val="00DF42FE"/>
    <w:rsid w:val="00E21EC7"/>
    <w:rsid w:val="00E41BF5"/>
    <w:rsid w:val="00E446E0"/>
    <w:rsid w:val="00E47E38"/>
    <w:rsid w:val="00E55954"/>
    <w:rsid w:val="00E72956"/>
    <w:rsid w:val="00E910B3"/>
    <w:rsid w:val="00E91984"/>
    <w:rsid w:val="00E927D4"/>
    <w:rsid w:val="00E943A0"/>
    <w:rsid w:val="00EC7412"/>
    <w:rsid w:val="00ED6AB7"/>
    <w:rsid w:val="00EE2AE3"/>
    <w:rsid w:val="00F04642"/>
    <w:rsid w:val="00F06B68"/>
    <w:rsid w:val="00F104CC"/>
    <w:rsid w:val="00F3452F"/>
    <w:rsid w:val="00F664B4"/>
    <w:rsid w:val="00F8798F"/>
    <w:rsid w:val="00F94460"/>
    <w:rsid w:val="00FC46D1"/>
    <w:rsid w:val="00FC70FB"/>
    <w:rsid w:val="00FF37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sdException w:qFormat="1" w:unhideWhenUsed="0" w:uiPriority="99" w:semiHidden="0"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qFormat/>
    <w:uiPriority w:val="99"/>
    <w:rPr>
      <w:color w:val="808080"/>
    </w:rPr>
  </w:style>
  <w:style w:type="paragraph" w:customStyle="1" w:styleId="5">
    <w:name w:val="6FBA58DD5B7D4ADFB45BD72B131B0037"/>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6">
    <w:name w:val="46BAF43A472E4DD787AD0A2C41F4A3DF"/>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7">
    <w:name w:val="E568753D1101497FBD106FFEA9DC8A7D"/>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8">
    <w:name w:val="714C4C21B78346219485B99643A6A12A"/>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9">
    <w:name w:val="F34F7BE7574141F8BEE799E60D18EABC"/>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0">
    <w:name w:val="DF504A3E7C0A4CB9ABB5251906177BFB"/>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1">
    <w:name w:val="C10CD6834AC34A5FACB5FC18D613C201"/>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DF7FCB-3FEE-4198-A710-6B8C07C7B11E}">
  <ds:schemaRefs/>
</ds:datastoreItem>
</file>

<file path=docProps/app.xml><?xml version="1.0" encoding="utf-8"?>
<Properties xmlns="http://schemas.openxmlformats.org/officeDocument/2006/extended-properties" xmlns:vt="http://schemas.openxmlformats.org/officeDocument/2006/docPropsVTypes">
  <Template>Normal.dotm</Template>
  <Pages>33</Pages>
  <Words>3125</Words>
  <Characters>16931</Characters>
  <Lines>903</Lines>
  <Paragraphs>456</Paragraphs>
  <TotalTime>685</TotalTime>
  <ScaleCrop>false</ScaleCrop>
  <LinksUpToDate>false</LinksUpToDate>
  <CharactersWithSpaces>19934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2023-07-21T09:18:00Z</dcterms:created>
  <dc:creator>韩 林沛</dc:creator>
  <cp:lastModifiedBy>朱可亮</cp:lastModifiedBy>
  <dcterms:modified xsi:type="dcterms:W3CDTF">2026-10-22T06:25:20Z</dcterms:modified>
  <cp:revision>197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eyJoZGlkIjoiOTk2MjQyNGNhMGJjNjE3YzQyYmNkYjhiNzM3MTI2NjQiLCJ1c2VySWQiOiIxNDg1MzYzOTk3In0=</vt:lpwstr>
  </property>
  <property fmtid="{D5CDD505-2E9C-101B-9397-08002B2CF9AE}" pid="3" name="KSOProductBuildVer">
    <vt:lpwstr>2052-12.1.0.28043</vt:lpwstr>
  </property>
  <property fmtid="{D5CDD505-2E9C-101B-9397-08002B2CF9AE}" pid="4" name="ICV">
    <vt:lpwstr>E801899DB58946CB8CE5262F8550B30D_12</vt:lpwstr>
  </property>
</Properties>
</file>