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Cuentas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y mantener las cuentas (empresas) con las que trabaja Colliers. Es la base del CRM: sobre las cuentas se cargan contactos, visitas y actividad comercial.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 comercial</w:t>
      </w:r>
    </w:p>
    <w:p>
      <w:r>
        <w:rPr>
          <w:b/>
          <w:color w:val="1C54F4"/>
          <w:sz w:val="21"/>
        </w:rPr>
        <w:t>Qué ingresar:</w:t>
      </w:r>
    </w:p>
    <w:p>
      <w:r>
        <w:t>Nombre de la empresa.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Categoría</w:t>
      </w:r>
    </w:p>
    <w:p>
      <w:r>
        <w:rPr>
          <w:b/>
          <w:color w:val="1C54F4"/>
          <w:sz w:val="21"/>
        </w:rPr>
        <w:t>Qué ingresar:</w:t>
      </w:r>
    </w:p>
    <w:p>
      <w:r>
        <w:t>Clasificación interna de la cuenta (Top, A, B, C o No aplica).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Seleccionar "Sí" si la empresa alguna vez recibió un servicio de Colliers o firmó una exclusividad. Seleccionar "No" en caso contrario.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principal de la empresa.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 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específica dentro del rubro.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Unidades de negocio de interés</w:t>
      </w:r>
    </w:p>
    <w:p>
      <w:r>
        <w:rPr>
          <w:b/>
          <w:color w:val="1C54F4"/>
          <w:sz w:val="21"/>
        </w:rPr>
        <w:t>Qué ingresar:</w:t>
      </w:r>
    </w:p>
    <w:p>
      <w:r>
        <w:t>Marcar los tipos de inmueble que le interesan a la empresa: Oficinas, Retail, Industria y/o Logística. Se puede elegir más de una.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cuenta</w:t>
      </w:r>
    </w:p>
    <w:p>
      <w:r>
        <w:rPr>
          <w:b/>
          <w:color w:val="1C54F4"/>
          <w:sz w:val="21"/>
        </w:rPr>
        <w:t>Qué ingresar:</w:t>
      </w:r>
    </w:p>
    <w:p>
      <w:r>
        <w:t>Indicar el tipo de empresa: Inmobiliaria, Desarrollador o Ninguno.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Creado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solo con el usuario que da de alta la cuenta. No hace falta escribir nada.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Cuenta.</w:t>
      </w:r>
    </w:p>
    <w:p>
      <w:pPr>
        <w:pStyle w:val="ListBullet"/>
      </w:pPr>
      <w:r>
        <w:t>Queda disponible para todos los usuarios autorizados.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