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Actividades de Marketing &amp; Research</w:t>
      </w:r>
    </w:p>
    <w:p>
      <w:pPr>
        <w:jc w:val="center"/>
      </w:pPr>
      <w:r>
        <w:rPr>
          <w:color w:val="56648F"/>
          <w:sz w:val="21"/>
        </w:rPr>
        <w:t>Versión 2.0   ·   21/08/2026</w:t>
      </w:r>
    </w:p>
    <w:p/>
    <w:p>
      <w:r>
        <w:rPr>
          <w:b/>
          <w:color w:val="1C54F4"/>
          <w:sz w:val="28"/>
        </w:rPr>
        <w:t>Objetivo</w:t>
      </w:r>
    </w:p>
    <w:p>
      <w:r>
        <w:t>Es el lugar desde donde se piden los trabajos a Marketing &amp; Research (fichas, publicaciones y demás actividades del área). Se completa primero un Formulario Base con los datos comunes y luego el formulario específico de la actividad elegida. Al enviar se genera un Ticket, se puede descargar un PDF corporativo y se notifica al responsable.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Formulario Base</w:t>
      </w:r>
    </w:p>
    <w:p>
      <w:r>
        <w:rPr>
          <w:b/>
          <w:color w:val="1C54F4"/>
          <w:sz w:val="21"/>
        </w:rPr>
        <w:t>Qué ingresar:</w:t>
      </w:r>
    </w:p>
    <w:p>
      <w:r>
        <w:t>Toda solicitud arranca por el Formulario Base. Ahí se cargan los datos comunes a cualquier actividad; después se continúa al formulario específico, que ya no vuelve a pedirlos.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actividad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elegir la actividad de Marketing &amp; Research que se necesita (por ejemplo, Ficha y Publicaciones – Oficinas). Arranca en 'Seleccionar' y define a qué formulario específico se continúa.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Prioridad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la urgencia de la solicitud: Baja, Media o Alta.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Qué ingresar: buscar la cuenta con el buscador inteligente. Es opcional, pero conviene indicarla para que el equipo tenga contexto.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Contacto</w:t>
      </w:r>
    </w:p>
    <w:p>
      <w:r>
        <w:rPr>
          <w:b/>
          <w:color w:val="1C54F4"/>
          <w:sz w:val="21"/>
        </w:rPr>
        <w:t>Qué ingresar:</w:t>
      </w:r>
    </w:p>
    <w:p>
      <w:r>
        <w:t>Qué ingresar: buscar la persona de contacto. Si se elige un contacto que ya tiene cuenta, la cuenta se completa sola.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Oportunidad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si el pedido corresponde a una oportunidad vigente de esa cuenta, elegirla de la lista.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</w:t>
      </w:r>
    </w:p>
    <w:p>
      <w:r>
        <w:rPr>
          <w:b/>
          <w:color w:val="1C54F4"/>
          <w:sz w:val="21"/>
        </w:rPr>
        <w:t>Qué ingresar:</w:t>
      </w:r>
    </w:p>
    <w:p>
      <w:r>
        <w:t>Qué ingresar: Oficinas, Industrias, Retail, Terrenos, SPS, Valuaciones, Consultorías o Desinversión. Si el usuario tiene una sola unidad, viene cargada; si tiene varias, aparecen primero las suyas para elegir.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Cualquier comentario o información adicional para Marketing &amp; Research.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solicitud</w:t>
      </w:r>
    </w:p>
    <w:p>
      <w:r>
        <w:rPr>
          <w:b/>
          <w:color w:val="1C54F4"/>
          <w:sz w:val="21"/>
        </w:rPr>
        <w:t>Qué ingresar:</w:t>
      </w:r>
    </w:p>
    <w:p>
      <w:r>
        <w:t>Se completa sola con la fecha del día. No hay que cargarla.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vencimiento</w:t>
      </w:r>
    </w:p>
    <w:p>
      <w:r>
        <w:rPr>
          <w:b/>
          <w:color w:val="1C54F4"/>
          <w:sz w:val="21"/>
        </w:rPr>
        <w:t>Qué ingresar:</w:t>
      </w:r>
    </w:p>
    <w:p>
      <w:r>
        <w:t>Se calcula sola según el tipo de actividad, contando días hábiles (no cuenta sábados ni domingos). Para Ficha son 3 días hábiles: si se pide un lunes, vence el jueves. Si la actividad todavía no tiene plazo definido, queda sin fecha.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Solicitada por</w:t>
      </w:r>
    </w:p>
    <w:p>
      <w:r>
        <w:rPr>
          <w:b/>
          <w:color w:val="1C54F4"/>
          <w:sz w:val="21"/>
        </w:rPr>
        <w:t>Qué ingresar:</w:t>
      </w:r>
    </w:p>
    <w:p>
      <w:r>
        <w:t>Se completa sola con el usuario logueado y no se puede modificar.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Formulario específico (carga guiada)</w:t>
      </w:r>
    </w:p>
    <w:p>
      <w:r>
        <w:rPr>
          <w:b/>
          <w:color w:val="1C54F4"/>
          <w:sz w:val="21"/>
        </w:rPr>
        <w:t>Qué ingresar:</w:t>
      </w:r>
    </w:p>
    <w:p>
      <w:r>
        <w:t>Al continuar se abre el formulario de la actividad elegida, en pasos: 1) Información General, 2) Información Comercial, 3) Contenido, 4) Características, 5) Comentarios y 6) Revisión. Se avanza con 'Siguiente' y se vuelve con 'Atrás' sin perder datos. Cada paso valida sus obligatorios. Los datos ya cargados en el Formulario Base no se vuelven a pedir.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Solo Ficha o Ficha + Publicación</w:t>
      </w:r>
    </w:p>
    <w:p>
      <w:r>
        <w:rPr>
          <w:b/>
          <w:color w:val="1C54F4"/>
          <w:sz w:val="21"/>
        </w:rPr>
        <w:t>Qué ingresar:</w:t>
      </w:r>
    </w:p>
    <w:p>
      <w:r>
        <w:t>En el paso 3 se puede enviar la solicitud solo como Ficha, o seguir completando para pedir también la Publicación.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 / Propietario / Inmueble</w:t>
      </w:r>
    </w:p>
    <w:p>
      <w:r>
        <w:rPr>
          <w:b/>
          <w:color w:val="1C54F4"/>
          <w:sz w:val="21"/>
        </w:rPr>
        <w:t>Qué ingresar:</w:t>
      </w:r>
    </w:p>
    <w:p>
      <w:r>
        <w:t>El propietario se asocia siempre a un Contacto de Nexus; si no existe se lo puede crear en el momento. Lo mismo con el inmueble ('+ Crear nuevo inmueble', pide Dirección y Tipo).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transacción</w:t>
      </w:r>
    </w:p>
    <w:p>
      <w:r>
        <w:rPr>
          <w:b/>
          <w:color w:val="1C54F4"/>
          <w:sz w:val="21"/>
        </w:rPr>
        <w:t>Qué ingresar:</w:t>
      </w:r>
    </w:p>
    <w:p>
      <w:r>
        <w:t>Qué ingresar: Alquiler, Venta o Ambas. Según lo elegido aparecen solo los precios que correspondan.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Superficies</w:t>
      </w:r>
    </w:p>
    <w:p>
      <w:r>
        <w:rPr>
          <w:b/>
          <w:color w:val="1C54F4"/>
          <w:sz w:val="21"/>
        </w:rPr>
        <w:t>Qué ingresar:</w:t>
      </w:r>
    </w:p>
    <w:p>
      <w:r>
        <w:t>La Superficie Total debe ser mayor o igual a la Superficie Cubierta. No se admiten valores negativos ni total en cero.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Equipamiento y Servicios</w:t>
      </w:r>
    </w:p>
    <w:p>
      <w:r>
        <w:rPr>
          <w:b/>
          <w:color w:val="1C54F4"/>
          <w:sz w:val="21"/>
        </w:rPr>
        <w:t>Qué ingresar:</w:t>
      </w:r>
    </w:p>
    <w:p>
      <w:r>
        <w:t>Para cada servicio (aire acondicionado, ascensor, seguridad, etc.) marcar Sí o No. Debajo, 'Especificaciones de los equipos' permite detallar lo que no se resuelve con Sí/No.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Descripción, Documentación y Acciones de Marketing</w:t>
      </w:r>
    </w:p>
    <w:p>
      <w:r>
        <w:rPr>
          <w:b/>
          <w:color w:val="1C54F4"/>
          <w:sz w:val="21"/>
        </w:rPr>
        <w:t>Qué ingresar:</w:t>
      </w:r>
    </w:p>
    <w:p>
      <w:r>
        <w:t>Describir el edificio y el entorno, adjuntar los materiales indicando su tipo (fotos, planos, brochure, video, tour virtual, render u otro) y elegir las acciones de marketing necesarias.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Cada ticket tiene un estado: Pendiente, En proceso o Finalizada. Si pasa la fecha de entrega sin finalizarse, se muestra como Vencida.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Registrar actividad no es lo mismo</w:t>
      </w:r>
    </w:p>
    <w:p>
      <w:r>
        <w:rPr>
          <w:b/>
          <w:color w:val="1C54F4"/>
          <w:sz w:val="21"/>
        </w:rPr>
        <w:t>Qué ingresar:</w:t>
      </w:r>
    </w:p>
    <w:p>
      <w:r>
        <w:t>El botón 'Registrar actividad' es solo para actividades comerciales (visitas, llamadas, reuniones, propuestas). Los trabajos de Marketing &amp; Research se piden únicamente desde este módulo.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Ticket (por ejemplo, Solicitud #000001) con estado Pendiente.</w:t>
      </w:r>
    </w:p>
    <w:p>
      <w:pPr>
        <w:pStyle w:val="ListBullet"/>
      </w:pPr>
      <w:r>
        <w:t>La solicitud guarda en un solo registro los datos del Formulario Base y los del formulario específico.</w:t>
      </w:r>
    </w:p>
    <w:p>
      <w:pPr>
        <w:pStyle w:val="ListBullet"/>
      </w:pPr>
      <w:r>
        <w:t>Se puede descargar un PDF corporativo con el formulario completo (botón PDF en la ficha del ticket).</w:t>
      </w:r>
    </w:p>
    <w:p>
      <w:pPr>
        <w:pStyle w:val="ListBullet"/>
      </w:pPr>
      <w:r>
        <w:t>Se notifica automáticamente al responsable del servicio (cuando el correo está configurado).</w:t>
      </w:r>
    </w:p>
    <w:p>
      <w:pPr>
        <w:pStyle w:val="ListBullet"/>
      </w:pPr>
      <w:r>
        <w:t>La solicitud queda en el historial; con 'Mis Solicitudes' cada usuario ve las suyas. El Timeline registra creación, cambios de estado y comentarios.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