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shd w:val="clear" w:fill="00285A"/>
          </w:tcPr>
          <w:p>
            <w:pPr>
              <w:jc w:val="center"/>
            </w:pPr>
            <w:r>
              <w:drawing>
                <wp:inline xmlns:a="http://schemas.openxmlformats.org/drawingml/2006/main" xmlns:pic="http://schemas.openxmlformats.org/drawingml/2006/picture">
                  <wp:extent cx="1463040" cy="1062059"/>
                  <wp:docPr id="1" name="Picture 1"/>
                  <wp:cNvGraphicFramePr>
                    <a:graphicFrameLocks noChangeAspect="1"/>
                  </wp:cNvGraphicFramePr>
                  <a:graphic>
                    <a:graphicData uri="http://schemas.openxmlformats.org/drawingml/2006/picture">
                      <pic:pic>
                        <pic:nvPicPr>
                          <pic:cNvPr id="0" name="colliers-logo-white.png"/>
                          <pic:cNvPicPr/>
                        </pic:nvPicPr>
                        <pic:blipFill>
                          <a:blip r:embed="rId9"/>
                          <a:stretch>
                            <a:fillRect/>
                          </a:stretch>
                        </pic:blipFill>
                        <pic:spPr>
                          <a:xfrm>
                            <a:off x="0" y="0"/>
                            <a:ext cx="1463040" cy="1062059"/>
                          </a:xfrm>
                          <a:prstGeom prst="rect"/>
                        </pic:spPr>
                      </pic:pic>
                    </a:graphicData>
                  </a:graphic>
                </wp:inline>
              </w:drawing>
            </w:r>
          </w:p>
        </w:tc>
      </w:tr>
    </w:tbl>
    <w:p>
      <w:pPr>
        <w:jc w:val="center"/>
      </w:pPr>
      <w:r>
        <w:rPr>
          <w:b/>
          <w:color w:val="00285A"/>
          <w:sz w:val="40"/>
        </w:rPr>
        <w:t>Manual de Usuario - Actividades de Marketing &amp; Research</w:t>
      </w:r>
    </w:p>
    <w:p>
      <w:pPr>
        <w:jc w:val="center"/>
      </w:pPr>
      <w:r>
        <w:rPr>
          <w:color w:val="56648F"/>
          <w:sz w:val="21"/>
        </w:rPr>
        <w:t>Versión 3.1   ·   21/08/2026</w:t>
      </w:r>
    </w:p>
    <w:p/>
    <w:p>
      <w:r>
        <w:rPr>
          <w:b/>
          <w:color w:val="1C54F4"/>
          <w:sz w:val="28"/>
        </w:rPr>
        <w:t>Objetivo</w:t>
      </w:r>
    </w:p>
    <w:p>
      <w:r>
        <w:t>Es el lugar desde donde se piden los trabajos a Marketing &amp; Research (fichas, publicaciones y demás actividades del área). Se completa primero un Formulario Base con los datos comunes y luego el formulario específico de la actividad elegida. Al enviar se genera un Ticket, se puede descargar un PDF corporativo y se notifica al responsable.</w:t>
      </w:r>
    </w:p>
    <w:p/>
    <w:p>
      <w:r>
        <w:rPr>
          <w:b/>
          <w:color w:val="1C54F4"/>
          <w:sz w:val="28"/>
        </w:rPr>
        <w:t>Campos</w:t>
      </w:r>
    </w:p>
    <w:p>
      <w:r>
        <w:rPr>
          <w:b/>
          <w:color w:val="00285A"/>
          <w:sz w:val="23"/>
        </w:rPr>
        <w:t>Formulario Base</w:t>
      </w:r>
    </w:p>
    <w:p>
      <w:r>
        <w:rPr>
          <w:b/>
          <w:color w:val="1C54F4"/>
          <w:sz w:val="21"/>
        </w:rPr>
        <w:t>Qué ingresar:</w:t>
      </w:r>
    </w:p>
    <w:p>
      <w:r>
        <w:t>Toda solicitud arranca por el Formulario Base. Ahí se cargan los datos comunes a cualquier actividad; después se continúa al formulario específico, que ya no vuelve a pedirlos.</w:t>
      </w:r>
    </w:p>
    <w:p>
      <w:r>
        <w:rPr>
          <w:color w:val="C9D6F0"/>
        </w:rPr>
        <w:t>──────────────────────────────────────────────</w:t>
      </w:r>
    </w:p>
    <w:p>
      <w:r>
        <w:rPr>
          <w:b/>
          <w:color w:val="00285A"/>
          <w:sz w:val="23"/>
        </w:rPr>
        <w:t>Tipo de actividad</w:t>
      </w:r>
    </w:p>
    <w:p>
      <w:r>
        <w:rPr>
          <w:b/>
          <w:color w:val="1C54F4"/>
          <w:sz w:val="21"/>
        </w:rPr>
        <w:t>Qué ingresar:</w:t>
      </w:r>
    </w:p>
    <w:p>
      <w:r>
        <w:t>Qué ingresar: elegir la actividad de Marketing &amp; Research que se necesita. 'Ficha y Publicación' es una sola actividad: dentro del formulario está marcado hasta dónde completar según se necesite solo la Ficha o también la Publicación. Arranca en 'Seleccionar' y define a qué formulario específico se continúa.</w:t>
      </w:r>
    </w:p>
    <w:p>
      <w:r>
        <w:rPr>
          <w:color w:val="C9D6F0"/>
        </w:rPr>
        <w:t>──────────────────────────────────────────────</w:t>
      </w:r>
    </w:p>
    <w:p>
      <w:r>
        <w:rPr>
          <w:b/>
          <w:color w:val="00285A"/>
          <w:sz w:val="23"/>
        </w:rPr>
        <w:t>Prioridad</w:t>
      </w:r>
    </w:p>
    <w:p>
      <w:r>
        <w:rPr>
          <w:b/>
          <w:color w:val="1C54F4"/>
          <w:sz w:val="21"/>
        </w:rPr>
        <w:t>Qué ingresar:</w:t>
      </w:r>
    </w:p>
    <w:p>
      <w:r>
        <w:t>Qué ingresar: la urgencia de la solicitud: Baja, Media o Alta.</w:t>
      </w:r>
    </w:p>
    <w:p>
      <w:r>
        <w:rPr>
          <w:color w:val="C9D6F0"/>
        </w:rPr>
        <w:t>──────────────────────────────────────────────</w:t>
      </w:r>
    </w:p>
    <w:p>
      <w:r>
        <w:rPr>
          <w:b/>
          <w:color w:val="00285A"/>
          <w:sz w:val="23"/>
        </w:rPr>
        <w:t>Cuenta / Contacto</w:t>
      </w:r>
    </w:p>
    <w:p>
      <w:r>
        <w:rPr>
          <w:b/>
          <w:color w:val="1C54F4"/>
          <w:sz w:val="21"/>
        </w:rPr>
        <w:t>Qué ingresar:</w:t>
      </w:r>
    </w:p>
    <w:p>
      <w:r>
        <w:t>Qué ingresar: al menos uno de los dos. Se puede indicar solo la Cuenta, solo el Contacto (útil para particulares que todavía no tienen cuenta) o ambos. Si se elige un contacto que ya tiene cuenta, la cuenta se completa sola. Si no se carga ninguno, el sistema avisa: 'Debés indicar una Cuenta o un Contacto' y no deja continuar. Estos datos se cargan una sola vez: el formulario específico no los vuelve a pedir.</w:t>
      </w:r>
    </w:p>
    <w:p>
      <w:r>
        <w:rPr>
          <w:color w:val="C9D6F0"/>
        </w:rPr>
        <w:t>──────────────────────────────────────────────</w:t>
      </w:r>
    </w:p>
    <w:p>
      <w:r>
        <w:rPr>
          <w:b/>
          <w:color w:val="00285A"/>
          <w:sz w:val="23"/>
        </w:rPr>
        <w:t>Oportunidad</w:t>
      </w:r>
    </w:p>
    <w:p>
      <w:r>
        <w:rPr>
          <w:b/>
          <w:color w:val="1C54F4"/>
          <w:sz w:val="21"/>
        </w:rPr>
        <w:t>Qué ingresar:</w:t>
      </w:r>
    </w:p>
    <w:p>
      <w:r>
        <w:t>Qué ingresar: si el pedido corresponde a una oportunidad vigente de esa cuenta, elegirla de la lista.</w:t>
      </w:r>
    </w:p>
    <w:p>
      <w:r>
        <w:rPr>
          <w:color w:val="C9D6F0"/>
        </w:rPr>
        <w:t>──────────────────────────────────────────────</w:t>
      </w:r>
    </w:p>
    <w:p>
      <w:r>
        <w:rPr>
          <w:b/>
          <w:color w:val="00285A"/>
          <w:sz w:val="23"/>
        </w:rPr>
        <w:t>Unidad de negocio</w:t>
      </w:r>
    </w:p>
    <w:p>
      <w:r>
        <w:rPr>
          <w:b/>
          <w:color w:val="1C54F4"/>
          <w:sz w:val="21"/>
        </w:rPr>
        <w:t>Qué ingresar:</w:t>
      </w:r>
    </w:p>
    <w:p>
      <w:r>
        <w:t>Qué ingresar: Oficinas, Industrias, Retail, Terrenos, SPS, Valuaciones, Consultorías o Desinversión. Si el usuario tiene una sola unidad, viene cargada; si tiene varias, aparecen primero las suyas para elegir.</w:t>
      </w:r>
    </w:p>
    <w:p>
      <w:r>
        <w:rPr>
          <w:color w:val="C9D6F0"/>
        </w:rPr>
        <w:t>──────────────────────────────────────────────</w:t>
      </w:r>
    </w:p>
    <w:p>
      <w:r>
        <w:rPr>
          <w:b/>
          <w:color w:val="00285A"/>
          <w:sz w:val="23"/>
        </w:rPr>
        <w:t>Comentarios</w:t>
      </w:r>
    </w:p>
    <w:p>
      <w:r>
        <w:rPr>
          <w:b/>
          <w:color w:val="1C54F4"/>
          <w:sz w:val="21"/>
        </w:rPr>
        <w:t>Qué ingresar:</w:t>
      </w:r>
    </w:p>
    <w:p>
      <w:r>
        <w:t>Qué ingresar: opcional. Cualquier comentario o información adicional para Marketing &amp; Research.</w:t>
      </w:r>
    </w:p>
    <w:p>
      <w:r>
        <w:rPr>
          <w:color w:val="C9D6F0"/>
        </w:rPr>
        <w:t>──────────────────────────────────────────────</w:t>
      </w:r>
    </w:p>
    <w:p>
      <w:r>
        <w:rPr>
          <w:b/>
          <w:color w:val="00285A"/>
          <w:sz w:val="23"/>
        </w:rPr>
        <w:t>Fecha de solicitud</w:t>
      </w:r>
    </w:p>
    <w:p>
      <w:r>
        <w:rPr>
          <w:b/>
          <w:color w:val="1C54F4"/>
          <w:sz w:val="21"/>
        </w:rPr>
        <w:t>Qué ingresar:</w:t>
      </w:r>
    </w:p>
    <w:p>
      <w:r>
        <w:t>Se completa sola con la fecha del día. No hay que cargarla.</w:t>
      </w:r>
    </w:p>
    <w:p>
      <w:r>
        <w:rPr>
          <w:color w:val="C9D6F0"/>
        </w:rPr>
        <w:t>──────────────────────────────────────────────</w:t>
      </w:r>
    </w:p>
    <w:p>
      <w:r>
        <w:rPr>
          <w:b/>
          <w:color w:val="00285A"/>
          <w:sz w:val="23"/>
        </w:rPr>
        <w:t>Fecha de vencimiento</w:t>
      </w:r>
    </w:p>
    <w:p>
      <w:r>
        <w:rPr>
          <w:b/>
          <w:color w:val="1C54F4"/>
          <w:sz w:val="21"/>
        </w:rPr>
        <w:t>Qué ingresar:</w:t>
      </w:r>
    </w:p>
    <w:p>
      <w:r>
        <w:t>Se calcula sola según el tipo de actividad, contando días hábiles (no cuenta sábados ni domingos). Para Ficha son 3 días hábiles: si se pide un lunes, vence el jueves. Si la actividad todavía no tiene plazo definido, queda sin fecha.</w:t>
      </w:r>
    </w:p>
    <w:p>
      <w:r>
        <w:rPr>
          <w:color w:val="C9D6F0"/>
        </w:rPr>
        <w:t>──────────────────────────────────────────────</w:t>
      </w:r>
    </w:p>
    <w:p>
      <w:r>
        <w:rPr>
          <w:b/>
          <w:color w:val="00285A"/>
          <w:sz w:val="23"/>
        </w:rPr>
        <w:t>Solicitada por</w:t>
      </w:r>
    </w:p>
    <w:p>
      <w:r>
        <w:rPr>
          <w:b/>
          <w:color w:val="1C54F4"/>
          <w:sz w:val="21"/>
        </w:rPr>
        <w:t>Qué ingresar:</w:t>
      </w:r>
    </w:p>
    <w:p>
      <w:r>
        <w:t>Se completa sola con el usuario logueado y no se puede modificar.</w:t>
      </w:r>
    </w:p>
    <w:p>
      <w:r>
        <w:rPr>
          <w:color w:val="C9D6F0"/>
        </w:rPr>
        <w:t>──────────────────────────────────────────────</w:t>
      </w:r>
    </w:p>
    <w:p>
      <w:r>
        <w:rPr>
          <w:b/>
          <w:color w:val="00285A"/>
          <w:sz w:val="23"/>
        </w:rPr>
        <w:t>Formulario específico (carga guiada)</w:t>
      </w:r>
    </w:p>
    <w:p>
      <w:r>
        <w:rPr>
          <w:b/>
          <w:color w:val="1C54F4"/>
          <w:sz w:val="21"/>
        </w:rPr>
        <w:t>Qué ingresar:</w:t>
      </w:r>
    </w:p>
    <w:p>
      <w:r>
        <w:t>Al continuar se abre el formulario de la actividad elegida, agrupado en dos etapas. FICHA: 1) Información General, 2) Información Comercial, 3) Características. PUBLICACIÓN: 4) Contenido, 5) Documentación y Difusión, 6) Comentarios. Al final hay una pantalla de Revisión. Se avanza con 'Siguiente' y se vuelve con 'Atrás' sin perder datos. Cada paso valida sus obligatorios. Los datos ya cargados en el Formulario Base no se vuelven a pedir.</w:t>
      </w:r>
    </w:p>
    <w:p>
      <w:r>
        <w:rPr>
          <w:color w:val="C9D6F0"/>
        </w:rPr>
        <w:t>──────────────────────────────────────────────</w:t>
      </w:r>
    </w:p>
    <w:p>
      <w:r>
        <w:rPr>
          <w:b/>
          <w:color w:val="00285A"/>
          <w:sz w:val="23"/>
        </w:rPr>
        <w:t>Solo Ficha o Ficha + Publicación</w:t>
      </w:r>
    </w:p>
    <w:p>
      <w:r>
        <w:rPr>
          <w:b/>
          <w:color w:val="1C54F4"/>
          <w:sz w:val="21"/>
        </w:rPr>
        <w:t>Qué ingresar:</w:t>
      </w:r>
    </w:p>
    <w:p>
      <w:r>
        <w:t>Con los pasos 1 a 3 completos ya alcanza para pedir la Ficha: el botón 'Generar solicitud de ficha' lleva directo a la Revisión. Si además se necesita la Publicación, continuar con los pasos 4, 5 y 6.</w:t>
      </w:r>
    </w:p>
    <w:p>
      <w:r>
        <w:rPr>
          <w:color w:val="C9D6F0"/>
        </w:rPr>
        <w:t>──────────────────────────────────────────────</w:t>
      </w:r>
    </w:p>
    <w:p>
      <w:r>
        <w:rPr>
          <w:b/>
          <w:color w:val="00285A"/>
          <w:sz w:val="23"/>
        </w:rPr>
        <w:t>Inmueble</w:t>
      </w:r>
    </w:p>
    <w:p>
      <w:r>
        <w:rPr>
          <w:b/>
          <w:color w:val="1C54F4"/>
          <w:sz w:val="21"/>
        </w:rPr>
        <w:t>Qué ingresar:</w:t>
      </w:r>
    </w:p>
    <w:p>
      <w:r>
        <w:t>Qué ingresar: buscar el inmueble. Es obligatorio: sin inmueble no se puede pedir una Ficha ni una Publicación. Si no existe, aparece un aviso con el botón 'Crear inmueble' para darlo de alta en el momento (pide Dirección y Tipo) y queda vinculado.</w:t>
      </w:r>
    </w:p>
    <w:p>
      <w:r>
        <w:rPr>
          <w:color w:val="C9D6F0"/>
        </w:rPr>
        <w:t>──────────────────────────────────────────────</w:t>
      </w:r>
    </w:p>
    <w:p>
      <w:r>
        <w:rPr>
          <w:b/>
          <w:color w:val="00285A"/>
          <w:sz w:val="23"/>
        </w:rPr>
        <w:t>Precio de alquiler y Precio por m²</w:t>
      </w:r>
    </w:p>
    <w:p>
      <w:r>
        <w:rPr>
          <w:b/>
          <w:color w:val="1C54F4"/>
          <w:sz w:val="21"/>
        </w:rPr>
        <w:t>Qué ingresar:</w:t>
      </w:r>
    </w:p>
    <w:p>
      <w:r>
        <w:t>El precio de alquiler es opcional. El precio por m² es obligatorio: sin ese dato no se puede avanzar.</w:t>
      </w:r>
    </w:p>
    <w:p>
      <w:r>
        <w:rPr>
          <w:color w:val="C9D6F0"/>
        </w:rPr>
        <w:t>──────────────────────────────────────────────</w:t>
      </w:r>
    </w:p>
    <w:p>
      <w:r>
        <w:rPr>
          <w:b/>
          <w:color w:val="00285A"/>
          <w:sz w:val="23"/>
        </w:rPr>
        <w:t>Comentarios comerciales</w:t>
      </w:r>
    </w:p>
    <w:p>
      <w:r>
        <w:rPr>
          <w:b/>
          <w:color w:val="1C54F4"/>
          <w:sz w:val="21"/>
        </w:rPr>
        <w:t>Qué ingresar:</w:t>
      </w:r>
    </w:p>
    <w:p>
      <w:r>
        <w:t>Qué ingresar: opcional. Cualquier información comercial adicional para el equipo.</w:t>
      </w:r>
    </w:p>
    <w:p>
      <w:r>
        <w:rPr>
          <w:color w:val="C9D6F0"/>
        </w:rPr>
        <w:t>──────────────────────────────────────────────</w:t>
      </w:r>
    </w:p>
    <w:p>
      <w:r>
        <w:rPr>
          <w:b/>
          <w:color w:val="00285A"/>
          <w:sz w:val="23"/>
        </w:rPr>
        <w:t>Superficies</w:t>
      </w:r>
    </w:p>
    <w:p>
      <w:r>
        <w:rPr>
          <w:b/>
          <w:color w:val="1C54F4"/>
          <w:sz w:val="21"/>
        </w:rPr>
        <w:t>Qué ingresar:</w:t>
      </w:r>
    </w:p>
    <w:p>
      <w:r>
        <w:t>Superficie total incluye cubierta, descubierta y semicubierta. También se puede cargar la superficie cubierta y la superficie propia. La total debe ser mayor o igual a la cubierta.</w:t>
      </w:r>
    </w:p>
    <w:p>
      <w:r>
        <w:rPr>
          <w:color w:val="C9D6F0"/>
        </w:rPr>
        <w:t>──────────────────────────────────────────────</w:t>
      </w:r>
    </w:p>
    <w:p>
      <w:r>
        <w:rPr>
          <w:b/>
          <w:color w:val="00285A"/>
          <w:sz w:val="23"/>
        </w:rPr>
        <w:t>Baños</w:t>
      </w:r>
    </w:p>
    <w:p>
      <w:r>
        <w:rPr>
          <w:b/>
          <w:color w:val="1C54F4"/>
          <w:sz w:val="21"/>
        </w:rPr>
        <w:t>Qué ingresar:</w:t>
      </w:r>
    </w:p>
    <w:p>
      <w:r>
        <w:t>Qué ingresar: la cantidad de inodoros.</w:t>
      </w:r>
    </w:p>
    <w:p>
      <w:r>
        <w:rPr>
          <w:color w:val="C9D6F0"/>
        </w:rPr>
        <w:t>──────────────────────────────────────────────</w:t>
      </w:r>
    </w:p>
    <w:p>
      <w:r>
        <w:rPr>
          <w:b/>
          <w:color w:val="00285A"/>
          <w:sz w:val="23"/>
        </w:rPr>
        <w:t>Características del equipo</w:t>
      </w:r>
    </w:p>
    <w:p>
      <w:r>
        <w:rPr>
          <w:b/>
          <w:color w:val="1C54F4"/>
          <w:sz w:val="21"/>
        </w:rPr>
        <w:t>Qué ingresar:</w:t>
      </w:r>
    </w:p>
    <w:p>
      <w:r>
        <w:t>Se completa solo con los amenities del edificio al elegir el inmueble, y se puede editar libremente para corregir o completar la información. Es obligatorio.</w:t>
      </w:r>
    </w:p>
    <w:p>
      <w:r>
        <w:rPr>
          <w:color w:val="C9D6F0"/>
        </w:rPr>
        <w:t>──────────────────────────────────────────────</w:t>
      </w:r>
    </w:p>
    <w:p>
      <w:r>
        <w:rPr>
          <w:b/>
          <w:color w:val="00285A"/>
          <w:sz w:val="23"/>
        </w:rPr>
        <w:t>Especificaciones de la oficina</w:t>
      </w:r>
    </w:p>
    <w:p>
      <w:r>
        <w:rPr>
          <w:b/>
          <w:color w:val="1C54F4"/>
          <w:sz w:val="21"/>
        </w:rPr>
        <w:t>Qué ingresar:</w:t>
      </w:r>
    </w:p>
    <w:p>
      <w:r>
        <w:t>Qué ingresar: opcional. Características propias de la unidad: distribución interna, estado, equipamiento específico u observaciones. No mezclar con las características del edificio.</w:t>
      </w:r>
    </w:p>
    <w:p>
      <w:r>
        <w:rPr>
          <w:color w:val="C9D6F0"/>
        </w:rPr>
        <w:t>──────────────────────────────────────────────</w:t>
      </w:r>
    </w:p>
    <w:p>
      <w:r>
        <w:rPr>
          <w:b/>
          <w:color w:val="00285A"/>
          <w:sz w:val="23"/>
        </w:rPr>
        <w:t>Cuenta / Propietario / Inmueble</w:t>
      </w:r>
    </w:p>
    <w:p>
      <w:r>
        <w:rPr>
          <w:b/>
          <w:color w:val="1C54F4"/>
          <w:sz w:val="21"/>
        </w:rPr>
        <w:t>Qué ingresar:</w:t>
      </w:r>
    </w:p>
    <w:p>
      <w:r>
        <w:t>El propietario se asocia siempre a un Contacto de Nexus; si no existe se lo puede crear en el momento. Lo mismo con el inmueble ('+ Crear nuevo inmueble', pide Dirección y Tipo).</w:t>
      </w:r>
    </w:p>
    <w:p>
      <w:r>
        <w:rPr>
          <w:color w:val="C9D6F0"/>
        </w:rPr>
        <w:t>──────────────────────────────────────────────</w:t>
      </w:r>
    </w:p>
    <w:p>
      <w:r>
        <w:rPr>
          <w:b/>
          <w:color w:val="00285A"/>
          <w:sz w:val="23"/>
        </w:rPr>
        <w:t>Ubicación en Google Maps</w:t>
      </w:r>
    </w:p>
    <w:p>
      <w:r>
        <w:rPr>
          <w:b/>
          <w:color w:val="1C54F4"/>
          <w:sz w:val="21"/>
        </w:rPr>
        <w:t>Qué ingresar:</w:t>
      </w:r>
    </w:p>
    <w:p>
      <w:r>
        <w:t>No hay que cargarla: al seleccionar el inmueble, Nexus arma sola la ubicación y muestra el enlace 'Ver ubicación en Google Maps', que abre el mapa en una pestaña nueva. Si se cambia el inmueble, la ubicación se actualiza. Si el inmueble no tiene una dirección completa, se avisa y no se genera un enlace incorrecto.</w:t>
      </w:r>
    </w:p>
    <w:p>
      <w:r>
        <w:rPr>
          <w:color w:val="C9D6F0"/>
        </w:rPr>
        <w:t>──────────────────────────────────────────────</w:t>
      </w:r>
    </w:p>
    <w:p>
      <w:r>
        <w:rPr>
          <w:b/>
          <w:color w:val="00285A"/>
          <w:sz w:val="23"/>
        </w:rPr>
        <w:t>Tipo de transacción</w:t>
      </w:r>
    </w:p>
    <w:p>
      <w:r>
        <w:rPr>
          <w:b/>
          <w:color w:val="1C54F4"/>
          <w:sz w:val="21"/>
        </w:rPr>
        <w:t>Qué ingresar:</w:t>
      </w:r>
    </w:p>
    <w:p>
      <w:r>
        <w:t>Qué ingresar: Alquiler, Venta o Ambas. Según lo elegido aparecen solo los precios que correspondan.</w:t>
      </w:r>
    </w:p>
    <w:p>
      <w:r>
        <w:rPr>
          <w:color w:val="C9D6F0"/>
        </w:rPr>
        <w:t>──────────────────────────────────────────────</w:t>
      </w:r>
    </w:p>
    <w:p>
      <w:r>
        <w:rPr>
          <w:b/>
          <w:color w:val="00285A"/>
          <w:sz w:val="23"/>
        </w:rPr>
        <w:t>Superficies</w:t>
      </w:r>
    </w:p>
    <w:p>
      <w:r>
        <w:rPr>
          <w:b/>
          <w:color w:val="1C54F4"/>
          <w:sz w:val="21"/>
        </w:rPr>
        <w:t>Qué ingresar:</w:t>
      </w:r>
    </w:p>
    <w:p>
      <w:r>
        <w:t>La Superficie Total debe ser mayor o igual a la Superficie Cubierta. No se admiten valores negativos ni total en cero.</w:t>
      </w:r>
    </w:p>
    <w:p>
      <w:r>
        <w:rPr>
          <w:color w:val="C9D6F0"/>
        </w:rPr>
        <w:t>──────────────────────────────────────────────</w:t>
      </w:r>
    </w:p>
    <w:p>
      <w:r>
        <w:rPr>
          <w:b/>
          <w:color w:val="00285A"/>
          <w:sz w:val="23"/>
        </w:rPr>
        <w:t>Equipamiento y Servicios</w:t>
      </w:r>
    </w:p>
    <w:p>
      <w:r>
        <w:rPr>
          <w:b/>
          <w:color w:val="1C54F4"/>
          <w:sz w:val="21"/>
        </w:rPr>
        <w:t>Qué ingresar:</w:t>
      </w:r>
    </w:p>
    <w:p>
      <w:r>
        <w:t>Para cada servicio (aire acondicionado, ascensor, seguridad, etc.) marcar Sí o No. Debajo, 'Especificaciones de los equipos' permite detallar lo que no se resuelve con Sí/No.</w:t>
      </w:r>
    </w:p>
    <w:p>
      <w:r>
        <w:rPr>
          <w:color w:val="C9D6F0"/>
        </w:rPr>
        <w:t>──────────────────────────────────────────────</w:t>
      </w:r>
    </w:p>
    <w:p>
      <w:r>
        <w:rPr>
          <w:b/>
          <w:color w:val="00285A"/>
          <w:sz w:val="23"/>
        </w:rPr>
        <w:t>Descripción, Documentación y Acciones de Marketing</w:t>
      </w:r>
    </w:p>
    <w:p>
      <w:r>
        <w:rPr>
          <w:b/>
          <w:color w:val="1C54F4"/>
          <w:sz w:val="21"/>
        </w:rPr>
        <w:t>Qué ingresar:</w:t>
      </w:r>
    </w:p>
    <w:p>
      <w:r>
        <w:t>Describir el edificio y el entorno, adjuntar los materiales indicando su tipo (fotos, planos, brochure, video, tour virtual, render u otro) y elegir las acciones de marketing necesarias.</w:t>
      </w:r>
    </w:p>
    <w:p>
      <w:r>
        <w:rPr>
          <w:color w:val="C9D6F0"/>
        </w:rPr>
        <w:t>──────────────────────────────────────────────</w:t>
      </w:r>
    </w:p>
    <w:p>
      <w:r>
        <w:rPr>
          <w:b/>
          <w:color w:val="00285A"/>
          <w:sz w:val="23"/>
        </w:rPr>
        <w:t>Estado</w:t>
      </w:r>
    </w:p>
    <w:p>
      <w:r>
        <w:rPr>
          <w:b/>
          <w:color w:val="1C54F4"/>
          <w:sz w:val="21"/>
        </w:rPr>
        <w:t>Qué ingresar:</w:t>
      </w:r>
    </w:p>
    <w:p>
      <w:r>
        <w:t>Cada ticket tiene un estado: Pendiente, En proceso o Finalizada. Si pasa la fecha de entrega sin finalizarse, se muestra como Vencida.</w:t>
      </w:r>
    </w:p>
    <w:p>
      <w:r>
        <w:rPr>
          <w:color w:val="C9D6F0"/>
        </w:rPr>
        <w:t>──────────────────────────────────────────────</w:t>
      </w:r>
    </w:p>
    <w:p>
      <w:r>
        <w:rPr>
          <w:b/>
          <w:color w:val="00285A"/>
          <w:sz w:val="23"/>
        </w:rPr>
        <w:t>Registrar actividad no es lo mismo</w:t>
      </w:r>
    </w:p>
    <w:p>
      <w:r>
        <w:rPr>
          <w:b/>
          <w:color w:val="1C54F4"/>
          <w:sz w:val="21"/>
        </w:rPr>
        <w:t>Qué ingresar:</w:t>
      </w:r>
    </w:p>
    <w:p>
      <w:r>
        <w:t>El botón 'Registrar actividad' es solo para actividades comerciales (visitas, llamadas, reuniones, propuestas). Los trabajos de Marketing &amp; Research se piden únicamente desde este módulo.</w:t>
      </w:r>
    </w:p>
    <w:p/>
    <w:p>
      <w:r>
        <w:rPr>
          <w:b/>
          <w:color w:val="1C54F4"/>
          <w:sz w:val="28"/>
        </w:rPr>
        <w:t>Al finalizar</w:t>
      </w:r>
    </w:p>
    <w:p>
      <w:r>
        <w:rPr>
          <w:b/>
        </w:rPr>
        <w:t>Al guardar:</w:t>
      </w:r>
    </w:p>
    <w:p>
      <w:pPr>
        <w:pStyle w:val="ListBullet"/>
      </w:pPr>
      <w:r>
        <w:t>Se crea el Ticket (por ejemplo, Solicitud #000001) con estado Pendiente.</w:t>
      </w:r>
    </w:p>
    <w:p>
      <w:pPr>
        <w:pStyle w:val="ListBullet"/>
      </w:pPr>
      <w:r>
        <w:t>La solicitud guarda en un solo registro los datos del Formulario Base y los del formulario específico.</w:t>
      </w:r>
    </w:p>
    <w:p>
      <w:pPr>
        <w:pStyle w:val="ListBullet"/>
      </w:pPr>
      <w:r>
        <w:t>Se puede descargar un PDF corporativo con el formulario completo (botón PDF en la ficha del ticket).</w:t>
      </w:r>
    </w:p>
    <w:p>
      <w:pPr>
        <w:pStyle w:val="ListBullet"/>
      </w:pPr>
      <w:r>
        <w:t>Se notifica automáticamente al responsable del servicio (cuando el correo está configurado).</w:t>
      </w:r>
    </w:p>
    <w:p>
      <w:pPr>
        <w:pStyle w:val="ListBullet"/>
      </w:pPr>
      <w:r>
        <w:t>La solicitud queda en el historial; con 'Mis Solicitudes' cada usuario ve las suyas. El Timeline registra creación, cambios de estado y comentarios.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A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