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1.1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Centro de seguimiento de la gestión comercial.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 principal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contacto de la cuenta (opcional). Si no hay, se continúa solo con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gestión: Prospectando, Calificando,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% Conversión</w:t>
      </w:r>
    </w:p>
    <w:p>
      <w:r>
        <w:rPr>
          <w:b/>
          <w:color w:val="1C54F4"/>
          <w:sz w:val="21"/>
        </w:rPr>
        <w:t>Qué ingresar:</w:t>
      </w:r>
    </w:p>
    <w:p>
      <w:r>
        <w:t>Elegir una categoría: 0–50% (naranja), 50–80% (amarillo) o 80–100% (verde). Es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y el % de Conversión, y esos cambios también quedan registrados.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