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8640"/>
      </w:tblGrid>
      <w:tr>
        <w:tc>
          <w:tcPr>
            <w:tcW w:type="dxa" w:w="8640"/>
            <w:shd w:val="clear" w:fill="00285A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1463040" cy="106205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colliers-logo-white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463040" cy="106205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b/>
          <w:color w:val="00285A"/>
          <w:sz w:val="40"/>
        </w:rPr>
        <w:t>Manual de Usuario - Visitas</w:t>
      </w:r>
    </w:p>
    <w:p>
      <w:pPr>
        <w:jc w:val="center"/>
      </w:pPr>
      <w:r>
        <w:rPr>
          <w:color w:val="56648F"/>
          <w:sz w:val="21"/>
        </w:rPr>
        <w:t>Versión 1.0   ·   23/07/2026</w:t>
      </w:r>
    </w:p>
    <w:p/>
    <w:p>
      <w:r>
        <w:rPr>
          <w:b/>
          <w:color w:val="1C54F4"/>
          <w:sz w:val="28"/>
        </w:rPr>
        <w:t>Objetivo</w:t>
      </w:r>
    </w:p>
    <w:p>
      <w:r>
        <w:t>Permite registrar de forma rápida las visitas comerciales realizadas a un inmueble en el marco de una cuenta. Cada visita queda asociada a la cuenta y al inmueble.</w:t>
      </w:r>
    </w:p>
    <w:p/>
    <w:p>
      <w:r>
        <w:rPr>
          <w:b/>
          <w:color w:val="1C54F4"/>
          <w:sz w:val="28"/>
        </w:rPr>
        <w:t>Campos</w:t>
      </w:r>
    </w:p>
    <w:p>
      <w:r>
        <w:rPr>
          <w:b/>
          <w:color w:val="00285A"/>
          <w:sz w:val="23"/>
        </w:rPr>
        <w:t>Cuenta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empresa sobre la que se hizo la visita.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Inmueble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el inmueble visitado.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Contacto</w:t>
      </w:r>
    </w:p>
    <w:p>
      <w:r>
        <w:rPr>
          <w:b/>
          <w:color w:val="1C54F4"/>
          <w:sz w:val="21"/>
        </w:rPr>
        <w:t>Qué ingresar:</w:t>
      </w:r>
    </w:p>
    <w:p>
      <w:r>
        <w:t>Buscar y seleccionar la persona con la que se realizó la visita (opcional).</w:t>
      </w:r>
    </w:p>
    <w:p>
      <w:r>
        <w:rPr>
          <w:color w:val="C9D6F0"/>
        </w:rPr>
        <w:t>──────────────────────────────────────────────</w:t>
      </w:r>
    </w:p>
    <w:p>
      <w:r>
        <w:rPr>
          <w:b/>
          <w:color w:val="00285A"/>
          <w:sz w:val="23"/>
        </w:rPr>
        <w:t>Comentarios</w:t>
      </w:r>
    </w:p>
    <w:p>
      <w:r>
        <w:rPr>
          <w:b/>
          <w:color w:val="1C54F4"/>
          <w:sz w:val="21"/>
        </w:rPr>
        <w:t>Qué ingresar:</w:t>
      </w:r>
    </w:p>
    <w:p>
      <w:r>
        <w:t>Observaciones de la visita: qué se habló, próximos pasos (opcional).</w:t>
      </w:r>
    </w:p>
    <w:p/>
    <w:p>
      <w:r>
        <w:rPr>
          <w:b/>
          <w:color w:val="1C54F4"/>
          <w:sz w:val="28"/>
        </w:rPr>
        <w:t>Al finalizar</w:t>
      </w:r>
    </w:p>
    <w:p>
      <w:r>
        <w:rPr>
          <w:b/>
        </w:rPr>
        <w:t>Al guardar:</w:t>
      </w:r>
    </w:p>
    <w:p>
      <w:pPr>
        <w:pStyle w:val="ListBullet"/>
      </w:pPr>
      <w:r>
        <w:t>Se registra la Visita.</w:t>
      </w:r>
    </w:p>
    <w:p>
      <w:pPr>
        <w:pStyle w:val="ListBullet"/>
      </w:pPr>
      <w:r>
        <w:t>Se genera automáticamente una actividad "Visita Comercial" en la cuenta.</w:t>
      </w:r>
    </w:p>
    <w:p>
      <w:pPr>
        <w:pStyle w:val="ListBullet"/>
      </w:pPr>
      <w:r>
        <w:t>La cuenta queda en estado Activa.</w:t>
      </w:r>
    </w:p>
    <w:p>
      <w:pPr>
        <w:pStyle w:val="ListBullet"/>
      </w:pPr>
      <w:r>
        <w:t>La visita se puede ver en la cuenta y en la ficha del inmueble.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22A4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