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42D8" w14:textId="77777777" w:rsidR="0065755C" w:rsidRPr="004E0CAD" w:rsidRDefault="0065755C" w:rsidP="0065755C">
      <w:pPr>
        <w:jc w:val="center"/>
        <w:rPr>
          <w:b/>
          <w:bCs/>
          <w:sz w:val="32"/>
          <w:szCs w:val="32"/>
        </w:rPr>
      </w:pPr>
      <w:r w:rsidRPr="004E0CAD">
        <w:rPr>
          <w:b/>
          <w:bCs/>
          <w:sz w:val="32"/>
          <w:szCs w:val="32"/>
        </w:rPr>
        <w:t xml:space="preserve">Financial Analysis </w:t>
      </w:r>
      <w:proofErr w:type="spellStart"/>
      <w:r w:rsidRPr="004E0CAD">
        <w:rPr>
          <w:b/>
          <w:bCs/>
          <w:sz w:val="32"/>
          <w:szCs w:val="32"/>
        </w:rPr>
        <w:t>Repport</w:t>
      </w:r>
      <w:proofErr w:type="spellEnd"/>
      <w:r w:rsidRPr="004E0CAD">
        <w:rPr>
          <w:b/>
          <w:bCs/>
          <w:sz w:val="32"/>
          <w:szCs w:val="32"/>
        </w:rPr>
        <w:t xml:space="preserve"> of HUL</w:t>
      </w:r>
    </w:p>
    <w:p w14:paraId="51D6523A" w14:textId="77777777" w:rsidR="0065755C" w:rsidRPr="004E0CAD" w:rsidRDefault="0065755C" w:rsidP="0065755C">
      <w:pPr>
        <w:rPr>
          <w:b/>
          <w:bCs/>
        </w:rPr>
      </w:pPr>
      <w:r w:rsidRPr="004E0CAD">
        <w:rPr>
          <w:b/>
          <w:bCs/>
        </w:rPr>
        <w:t>About the company</w:t>
      </w:r>
    </w:p>
    <w:p w14:paraId="261D5B48" w14:textId="77777777" w:rsidR="0065755C" w:rsidRDefault="0065755C" w:rsidP="0065755C">
      <w:r w:rsidRPr="001808FD">
        <w:t>Hindustan Unilever is in the FMCG business comprising primarily of Home Care, Beauty &amp; Personal Care and Foods &amp; Refreshment segments. The Company has manufacturing facilities across the country and sells primarily in India</w:t>
      </w:r>
      <w:r>
        <w:t xml:space="preserve">. </w:t>
      </w:r>
      <w:r w:rsidRPr="00700DF1">
        <w:t>The company has a portfolio of over 50 brands, spanning 16 FMCG categories, including 19 brands with a turnover of more than Rs. 1,000 Cr PA.</w:t>
      </w:r>
    </w:p>
    <w:p w14:paraId="4F439553" w14:textId="77777777" w:rsidR="0065755C" w:rsidRDefault="0065755C" w:rsidP="0065755C"/>
    <w:p w14:paraId="6EC46585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Income statement analysis</w:t>
      </w:r>
    </w:p>
    <w:p w14:paraId="7F778D62" w14:textId="77777777" w:rsidR="0065755C" w:rsidRDefault="0065755C" w:rsidP="0065755C">
      <w:r w:rsidRPr="00700DF1">
        <w:t xml:space="preserve">Sales: 33,162 → 64,468 </w:t>
      </w:r>
      <w:r>
        <w:t xml:space="preserve">    </w:t>
      </w:r>
    </w:p>
    <w:p w14:paraId="2877E25D" w14:textId="77777777" w:rsidR="0065755C" w:rsidRDefault="0065755C" w:rsidP="0065755C">
      <w:r w:rsidRPr="00700DF1">
        <w:t>Net profit: 4,476 → 15,040</w:t>
      </w:r>
    </w:p>
    <w:p w14:paraId="1A33C3B5" w14:textId="77777777" w:rsidR="0065755C" w:rsidRPr="00700DF1" w:rsidRDefault="0065755C" w:rsidP="0065755C">
      <w:r w:rsidRPr="001D778D">
        <w:rPr>
          <w:noProof/>
        </w:rPr>
        <w:drawing>
          <wp:inline distT="0" distB="0" distL="0" distR="0" wp14:anchorId="1DECC3C2" wp14:editId="1F1EB502">
            <wp:extent cx="5731510" cy="2454910"/>
            <wp:effectExtent l="0" t="0" r="2540" b="2540"/>
            <wp:docPr id="92378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0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B9E4" w14:textId="77777777" w:rsidR="0065755C" w:rsidRPr="00700DF1" w:rsidRDefault="0065755C" w:rsidP="0065755C">
      <w:pPr>
        <w:numPr>
          <w:ilvl w:val="0"/>
          <w:numId w:val="1"/>
        </w:numPr>
      </w:pPr>
      <w:r w:rsidRPr="00700DF1">
        <w:rPr>
          <w:b/>
          <w:bCs/>
        </w:rPr>
        <w:t>Revenue growth:</w:t>
      </w:r>
    </w:p>
    <w:p w14:paraId="2AD33014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Strong top-line expansion:</w:t>
      </w:r>
      <w:r w:rsidRPr="00700DF1">
        <w:t xml:space="preserve"> Sales increased from ₹33,162 crore to ₹64,468 crore over the period, showing robust and consistent growth.</w:t>
      </w:r>
    </w:p>
    <w:p w14:paraId="02E8375A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Resilience:</w:t>
      </w:r>
      <w:r w:rsidRPr="00700DF1">
        <w:t xml:space="preserve"> Even in recent years, sales remained stable around ₹61,328–64,468 crore, indicating strong brand equity and demand stability.</w:t>
      </w:r>
    </w:p>
    <w:p w14:paraId="21A02122" w14:textId="77777777" w:rsidR="0065755C" w:rsidRPr="00700DF1" w:rsidRDefault="0065755C" w:rsidP="0065755C">
      <w:pPr>
        <w:numPr>
          <w:ilvl w:val="0"/>
          <w:numId w:val="1"/>
        </w:numPr>
      </w:pPr>
      <w:r w:rsidRPr="00700DF1">
        <w:rPr>
          <w:b/>
          <w:bCs/>
        </w:rPr>
        <w:t>Cost structure and margins:</w:t>
      </w:r>
    </w:p>
    <w:p w14:paraId="1723D9FE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Raw material cost:</w:t>
      </w:r>
      <w:r w:rsidRPr="00700DF1">
        <w:t xml:space="preserve"> Increased from ₹13,606 crore to ₹29,158 crore, broadly tracking revenue growth, suggesting stable gross margins.</w:t>
      </w:r>
    </w:p>
    <w:p w14:paraId="556E9813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Operating expenses:</w:t>
      </w:r>
      <w:r w:rsidRPr="00700DF1">
        <w:t xml:space="preserve"> Employee cost, selling &amp; admin, and other expenses have risen, but not disproportionately, indicating disciplined cost management.</w:t>
      </w:r>
    </w:p>
    <w:p w14:paraId="0ECCF097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lastRenderedPageBreak/>
        <w:t>Operating profit:</w:t>
      </w:r>
      <w:r w:rsidRPr="00700DF1">
        <w:t xml:space="preserve"> Profit before tax rose from ₹6,467 crore to ₹18,219 crore, reflecting margin expansion and operating leverage.</w:t>
      </w:r>
    </w:p>
    <w:p w14:paraId="6736829B" w14:textId="77777777" w:rsidR="0065755C" w:rsidRPr="00700DF1" w:rsidRDefault="0065755C" w:rsidP="0065755C">
      <w:pPr>
        <w:numPr>
          <w:ilvl w:val="0"/>
          <w:numId w:val="1"/>
        </w:numPr>
      </w:pPr>
      <w:r w:rsidRPr="00700DF1">
        <w:rPr>
          <w:b/>
          <w:bCs/>
        </w:rPr>
        <w:t>Profitability:</w:t>
      </w:r>
    </w:p>
    <w:p w14:paraId="313D6587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Net profit growth:</w:t>
      </w:r>
      <w:r w:rsidRPr="00700DF1">
        <w:t xml:space="preserve"> Net profit increased from ₹4,476 crore to ₹15,040 crore, outpacing revenue growth and highlighting improved efficiency.</w:t>
      </w:r>
    </w:p>
    <w:p w14:paraId="1B6CB121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Other income impact:</w:t>
      </w:r>
      <w:r w:rsidRPr="00700DF1">
        <w:t xml:space="preserve"> Other income jumped significantly in the latest year (₹4,923 crore), boosting overall profitability.</w:t>
      </w:r>
    </w:p>
    <w:p w14:paraId="33D40499" w14:textId="77777777" w:rsidR="0065755C" w:rsidRPr="00700DF1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Tax burden:</w:t>
      </w:r>
      <w:r w:rsidRPr="00700DF1">
        <w:t xml:space="preserve"> Tax expense remained relatively controlled versus profit before tax, supporting healthy net margins.</w:t>
      </w:r>
    </w:p>
    <w:p w14:paraId="67C1319A" w14:textId="77777777" w:rsidR="0065755C" w:rsidRPr="00700DF1" w:rsidRDefault="0065755C" w:rsidP="0065755C">
      <w:pPr>
        <w:numPr>
          <w:ilvl w:val="0"/>
          <w:numId w:val="1"/>
        </w:numPr>
      </w:pPr>
      <w:r w:rsidRPr="00700DF1">
        <w:rPr>
          <w:b/>
          <w:bCs/>
        </w:rPr>
        <w:t>Dividend policy:</w:t>
      </w:r>
    </w:p>
    <w:p w14:paraId="7998E0D8" w14:textId="77777777" w:rsidR="0065755C" w:rsidRDefault="0065755C" w:rsidP="0065755C">
      <w:pPr>
        <w:numPr>
          <w:ilvl w:val="1"/>
          <w:numId w:val="1"/>
        </w:numPr>
      </w:pPr>
      <w:r w:rsidRPr="00700DF1">
        <w:rPr>
          <w:b/>
          <w:bCs/>
        </w:rPr>
        <w:t>Consistent payouts:</w:t>
      </w:r>
      <w:r w:rsidRPr="00700DF1">
        <w:t xml:space="preserve"> Dividend amount rose from ₹3,672 crore to peaks like ₹12,455 crore, reflecting strong cash generation and shareholder-friendly capital allocation.</w:t>
      </w:r>
    </w:p>
    <w:p w14:paraId="78F6C0FE" w14:textId="77777777" w:rsidR="0065755C" w:rsidRPr="00700DF1" w:rsidRDefault="0065755C" w:rsidP="0065755C"/>
    <w:p w14:paraId="2D56BA4C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Balance sheet analysis</w:t>
      </w:r>
    </w:p>
    <w:p w14:paraId="7335D058" w14:textId="77777777" w:rsidR="0065755C" w:rsidRDefault="0065755C" w:rsidP="0065755C">
      <w:r w:rsidRPr="00700DF1">
        <w:t xml:space="preserve">Equity Share Capital: 216 → 235 </w:t>
      </w:r>
      <w:r>
        <w:t xml:space="preserve"> </w:t>
      </w:r>
    </w:p>
    <w:p w14:paraId="7286BEE5" w14:textId="77777777" w:rsidR="0065755C" w:rsidRDefault="0065755C" w:rsidP="0065755C">
      <w:r w:rsidRPr="00700DF1">
        <w:t>Reserves: 6,528 → 48,504</w:t>
      </w:r>
    </w:p>
    <w:p w14:paraId="36564C01" w14:textId="77777777" w:rsidR="0065755C" w:rsidRPr="00700DF1" w:rsidRDefault="0065755C" w:rsidP="0065755C">
      <w:r w:rsidRPr="001D778D">
        <w:rPr>
          <w:noProof/>
        </w:rPr>
        <w:drawing>
          <wp:inline distT="0" distB="0" distL="0" distR="0" wp14:anchorId="7812C4CC" wp14:editId="0314B35C">
            <wp:extent cx="5731510" cy="1840865"/>
            <wp:effectExtent l="0" t="0" r="2540" b="6985"/>
            <wp:docPr id="13159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4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A319" w14:textId="77777777" w:rsidR="0065755C" w:rsidRPr="00700DF1" w:rsidRDefault="0065755C" w:rsidP="0065755C">
      <w:pPr>
        <w:numPr>
          <w:ilvl w:val="0"/>
          <w:numId w:val="2"/>
        </w:numPr>
      </w:pPr>
      <w:r w:rsidRPr="00700DF1">
        <w:rPr>
          <w:b/>
          <w:bCs/>
        </w:rPr>
        <w:t>Capital structure:</w:t>
      </w:r>
    </w:p>
    <w:p w14:paraId="71B3BCA9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Equity base:</w:t>
      </w:r>
      <w:r w:rsidRPr="00700DF1">
        <w:t xml:space="preserve"> Equity share capital increased slightly (bonus/issuance), while reserves surged from ₹6,528 crore to ~₹48,504 crore, indicating strong retained earnings.</w:t>
      </w:r>
    </w:p>
    <w:p w14:paraId="1759A3A5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Low leverage:</w:t>
      </w:r>
      <w:r w:rsidRPr="00700DF1">
        <w:t xml:space="preserve"> Borrowings appear modest (e.g., ₹1,484–1,648 crore in mid-years), suggesting a conservative balance sheet with low financial risk.</w:t>
      </w:r>
    </w:p>
    <w:p w14:paraId="64E7BB58" w14:textId="77777777" w:rsidR="0065755C" w:rsidRPr="00700DF1" w:rsidRDefault="0065755C" w:rsidP="0065755C">
      <w:pPr>
        <w:numPr>
          <w:ilvl w:val="0"/>
          <w:numId w:val="2"/>
        </w:numPr>
      </w:pPr>
      <w:r w:rsidRPr="00700DF1">
        <w:rPr>
          <w:b/>
          <w:bCs/>
        </w:rPr>
        <w:t>Asset composition:</w:t>
      </w:r>
    </w:p>
    <w:p w14:paraId="290B06F9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lastRenderedPageBreak/>
        <w:t>Fixed assets:</w:t>
      </w:r>
      <w:r w:rsidRPr="00700DF1">
        <w:t xml:space="preserve"> Net block rose from ₹4,419 crore to ₹57,428 crore, showing sustained investment in productive capacity and infrastructure.</w:t>
      </w:r>
    </w:p>
    <w:p w14:paraId="2717366E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Investments:</w:t>
      </w:r>
      <w:r w:rsidRPr="00700DF1">
        <w:t xml:space="preserve"> Investments fluctuate (₹3,794 → ₹4,359 crore), indicating active portfolio management and strategic stakes.</w:t>
      </w:r>
    </w:p>
    <w:p w14:paraId="408FE7BD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Other assets:</w:t>
      </w:r>
      <w:r w:rsidRPr="00700DF1">
        <w:t xml:space="preserve"> Other assets increased from ₹7,264 crore to ₹17,071 crore, reflecting growth in non-current and miscellaneous assets.</w:t>
      </w:r>
    </w:p>
    <w:p w14:paraId="6BBA05F7" w14:textId="77777777" w:rsidR="0065755C" w:rsidRPr="00700DF1" w:rsidRDefault="0065755C" w:rsidP="0065755C">
      <w:pPr>
        <w:numPr>
          <w:ilvl w:val="0"/>
          <w:numId w:val="2"/>
        </w:numPr>
      </w:pPr>
      <w:r w:rsidRPr="00700DF1">
        <w:rPr>
          <w:b/>
          <w:bCs/>
        </w:rPr>
        <w:t>Working capital and liquidity:</w:t>
      </w:r>
    </w:p>
    <w:p w14:paraId="5A83B96F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Receivables:</w:t>
      </w:r>
      <w:r w:rsidRPr="00700DF1">
        <w:t xml:space="preserve"> Grew from ₹1,085 crore to ₹3,379 crore, broadly in line with sales, suggesting stable credit policy.</w:t>
      </w:r>
    </w:p>
    <w:p w14:paraId="0A6DB5F6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Inventory:</w:t>
      </w:r>
      <w:r w:rsidRPr="00700DF1">
        <w:t xml:space="preserve"> Increased from ₹2,541 crore to ₹4,789 crore, consistent with scale-up but requiring monitoring for efficiency.</w:t>
      </w:r>
    </w:p>
    <w:p w14:paraId="2DEA61A7" w14:textId="77777777" w:rsidR="0065755C" w:rsidRPr="00700DF1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Cash &amp; bank:</w:t>
      </w:r>
      <w:r w:rsidRPr="00700DF1">
        <w:t xml:space="preserve"> Cash balances moved from ₹1,828 crore to ₹3,248 crore, with some volatility, but overall adequate liquidity.</w:t>
      </w:r>
    </w:p>
    <w:p w14:paraId="13B121DB" w14:textId="77777777" w:rsidR="0065755C" w:rsidRPr="00700DF1" w:rsidRDefault="0065755C" w:rsidP="0065755C">
      <w:pPr>
        <w:numPr>
          <w:ilvl w:val="0"/>
          <w:numId w:val="2"/>
        </w:numPr>
      </w:pPr>
      <w:r w:rsidRPr="00700DF1">
        <w:rPr>
          <w:b/>
          <w:bCs/>
        </w:rPr>
        <w:t>Overall balance sheet quality:</w:t>
      </w:r>
    </w:p>
    <w:p w14:paraId="0D6C8E67" w14:textId="77777777" w:rsidR="0065755C" w:rsidRPr="001D778D" w:rsidRDefault="0065755C" w:rsidP="0065755C">
      <w:pPr>
        <w:numPr>
          <w:ilvl w:val="1"/>
          <w:numId w:val="2"/>
        </w:numPr>
      </w:pPr>
      <w:r w:rsidRPr="00700DF1">
        <w:rPr>
          <w:b/>
          <w:bCs/>
        </w:rPr>
        <w:t>Strong equity cushion, low debt, and healthy asset base</w:t>
      </w:r>
      <w:r w:rsidRPr="00700DF1">
        <w:t xml:space="preserve"> point to a robust financial position and high solvency.</w:t>
      </w:r>
    </w:p>
    <w:p w14:paraId="189FAF9B" w14:textId="77777777" w:rsidR="0065755C" w:rsidRDefault="0065755C" w:rsidP="0065755C">
      <w:pPr>
        <w:rPr>
          <w:b/>
          <w:bCs/>
        </w:rPr>
      </w:pPr>
    </w:p>
    <w:p w14:paraId="41208AE6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Cash flow statement analysis</w:t>
      </w:r>
    </w:p>
    <w:p w14:paraId="187D7F3C" w14:textId="77777777" w:rsidR="0065755C" w:rsidRDefault="0065755C" w:rsidP="0065755C">
      <w:r w:rsidRPr="00700DF1">
        <w:t xml:space="preserve">Cash from Operating Activity: 5,185 → 10,999 </w:t>
      </w:r>
    </w:p>
    <w:p w14:paraId="2186E6EF" w14:textId="77777777" w:rsidR="0065755C" w:rsidRDefault="0065755C" w:rsidP="0065755C">
      <w:r w:rsidRPr="00700DF1">
        <w:t>Free Cash Flow: 4,248 → 9,667</w:t>
      </w:r>
    </w:p>
    <w:p w14:paraId="4F5612E6" w14:textId="77777777" w:rsidR="0065755C" w:rsidRPr="00700DF1" w:rsidRDefault="0065755C" w:rsidP="0065755C">
      <w:r w:rsidRPr="001D778D">
        <w:rPr>
          <w:noProof/>
        </w:rPr>
        <w:drawing>
          <wp:inline distT="0" distB="0" distL="0" distR="0" wp14:anchorId="4C317D9A" wp14:editId="21AC6B18">
            <wp:extent cx="5731510" cy="2922270"/>
            <wp:effectExtent l="0" t="0" r="2540" b="0"/>
            <wp:docPr id="14529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14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E49C" w14:textId="77777777" w:rsidR="0065755C" w:rsidRPr="00700DF1" w:rsidRDefault="0065755C" w:rsidP="0065755C">
      <w:pPr>
        <w:numPr>
          <w:ilvl w:val="0"/>
          <w:numId w:val="3"/>
        </w:numPr>
      </w:pPr>
      <w:r w:rsidRPr="00700DF1">
        <w:rPr>
          <w:b/>
          <w:bCs/>
        </w:rPr>
        <w:lastRenderedPageBreak/>
        <w:t>Operating cash flows (CFO):</w:t>
      </w:r>
    </w:p>
    <w:p w14:paraId="46921375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Consistent generation:</w:t>
      </w:r>
      <w:r w:rsidRPr="00700DF1">
        <w:t xml:space="preserve"> CFO increased from ₹5,185 crore to ₹10,999 crore, broadly tracking profit growth and confirming earnings quality.</w:t>
      </w:r>
    </w:p>
    <w:p w14:paraId="6D0140B9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Working capital management:</w:t>
      </w:r>
      <w:r w:rsidRPr="00700DF1">
        <w:t xml:space="preserve"> Working capital changes are mixed (e.g., -1,000, +1,313, -788, +686), but overall do not structurally impair cash generation.</w:t>
      </w:r>
    </w:p>
    <w:p w14:paraId="641CF583" w14:textId="77777777" w:rsidR="0065755C" w:rsidRPr="00700DF1" w:rsidRDefault="0065755C" w:rsidP="0065755C">
      <w:pPr>
        <w:numPr>
          <w:ilvl w:val="0"/>
          <w:numId w:val="3"/>
        </w:numPr>
      </w:pPr>
      <w:r w:rsidRPr="00700DF1">
        <w:rPr>
          <w:b/>
          <w:bCs/>
        </w:rPr>
        <w:t>Investing cash flows (CFI):</w:t>
      </w:r>
    </w:p>
    <w:p w14:paraId="4603899E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Capex:</w:t>
      </w:r>
      <w:r w:rsidRPr="00700DF1">
        <w:t xml:space="preserve"> Fixed assets purchased show regular investment (e.g., -₹1,113 to -₹1,361 crore), supporting long-term growth.</w:t>
      </w:r>
    </w:p>
    <w:p w14:paraId="10C342E0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Investment activity:</w:t>
      </w:r>
      <w:r w:rsidRPr="00700DF1">
        <w:t xml:space="preserve"> Large investment purchases and sales (e.g., -₹31,214 vs +₹30,083 crore) indicate active treasury and strategic investment management.</w:t>
      </w:r>
    </w:p>
    <w:p w14:paraId="2DE94200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Net CFI:</w:t>
      </w:r>
      <w:r w:rsidRPr="00700DF1">
        <w:t xml:space="preserve"> Alternates between outflows and inflows (e.g., -₹1,173, +₹1,791, +₹6,473, -₹3,676), reflecting timing of investments and divestments.</w:t>
      </w:r>
    </w:p>
    <w:p w14:paraId="6895BD6F" w14:textId="77777777" w:rsidR="0065755C" w:rsidRPr="00700DF1" w:rsidRDefault="0065755C" w:rsidP="0065755C">
      <w:pPr>
        <w:numPr>
          <w:ilvl w:val="0"/>
          <w:numId w:val="3"/>
        </w:numPr>
      </w:pPr>
      <w:r w:rsidRPr="00700DF1">
        <w:rPr>
          <w:b/>
          <w:bCs/>
        </w:rPr>
        <w:t>Financing cash flows (CFF):</w:t>
      </w:r>
    </w:p>
    <w:p w14:paraId="53913772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Dividends:</w:t>
      </w:r>
      <w:r w:rsidRPr="00700DF1">
        <w:t xml:space="preserve"> Significant outflows from dividends (e.g., -₹3,572 → -₹10,124 crore) show strong shareholder returns.</w:t>
      </w:r>
    </w:p>
    <w:p w14:paraId="0508EE61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Debt movements:</w:t>
      </w:r>
      <w:r w:rsidRPr="00700DF1">
        <w:t xml:space="preserve"> Limited borrowing and repayments, consistent with low leverage strategy.</w:t>
      </w:r>
    </w:p>
    <w:p w14:paraId="42ADAA2C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Net CFF:</w:t>
      </w:r>
      <w:r w:rsidRPr="00700DF1">
        <w:t xml:space="preserve"> Persistent outflows (around -₹4,214 to -₹13,101 crore), driven mainly by dividends and modest debt repayments.</w:t>
      </w:r>
    </w:p>
    <w:p w14:paraId="1B6636E6" w14:textId="77777777" w:rsidR="0065755C" w:rsidRPr="00700DF1" w:rsidRDefault="0065755C" w:rsidP="0065755C">
      <w:pPr>
        <w:numPr>
          <w:ilvl w:val="0"/>
          <w:numId w:val="3"/>
        </w:numPr>
      </w:pPr>
      <w:r w:rsidRPr="00700DF1">
        <w:rPr>
          <w:b/>
          <w:bCs/>
        </w:rPr>
        <w:t>Net cash flow and FCF:</w:t>
      </w:r>
    </w:p>
    <w:p w14:paraId="3B54D206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Net cash flow:</w:t>
      </w:r>
      <w:r w:rsidRPr="00700DF1">
        <w:t xml:space="preserve"> Volatile but generally manageable (e.g., -₹202, +₹2,595, +₹5,258, -₹3,487), indicating active capital allocation.</w:t>
      </w:r>
    </w:p>
    <w:p w14:paraId="4009FA0F" w14:textId="77777777" w:rsidR="0065755C" w:rsidRPr="00700DF1" w:rsidRDefault="0065755C" w:rsidP="0065755C">
      <w:pPr>
        <w:numPr>
          <w:ilvl w:val="1"/>
          <w:numId w:val="3"/>
        </w:numPr>
      </w:pPr>
      <w:r w:rsidRPr="00700DF1">
        <w:rPr>
          <w:b/>
          <w:bCs/>
        </w:rPr>
        <w:t>Free cash flow:</w:t>
      </w:r>
      <w:r w:rsidRPr="00700DF1">
        <w:t xml:space="preserve"> Strong and rising (₹4,248 → ₹9,667 crore), underscoring HUL’s ability to fund growth and distributions internally.</w:t>
      </w:r>
    </w:p>
    <w:p w14:paraId="59CAEF09" w14:textId="77777777" w:rsidR="0065755C" w:rsidRDefault="0065755C" w:rsidP="0065755C">
      <w:pPr>
        <w:rPr>
          <w:b/>
          <w:bCs/>
        </w:rPr>
      </w:pPr>
    </w:p>
    <w:p w14:paraId="59410116" w14:textId="77777777" w:rsidR="0065755C" w:rsidRDefault="0065755C" w:rsidP="0065755C">
      <w:pPr>
        <w:rPr>
          <w:b/>
          <w:bCs/>
        </w:rPr>
      </w:pPr>
    </w:p>
    <w:p w14:paraId="2DD39A83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 xml:space="preserve">Ratio analysis </w:t>
      </w:r>
    </w:p>
    <w:p w14:paraId="29DB4E2F" w14:textId="77777777" w:rsidR="0065755C" w:rsidRDefault="0065755C" w:rsidP="0065755C">
      <w:r w:rsidRPr="00700DF1">
        <w:t>Ratio Analysis: Gross Profit Margin, EBITDA Margin, Net Profit Margin, ROA, ROE, Debt/Equity, Current Ratio, P/E, etc.</w:t>
      </w:r>
    </w:p>
    <w:p w14:paraId="5D533C8F" w14:textId="77777777" w:rsidR="0065755C" w:rsidRPr="00700DF1" w:rsidRDefault="0065755C" w:rsidP="0065755C">
      <w:r w:rsidRPr="001D778D">
        <w:rPr>
          <w:noProof/>
        </w:rPr>
        <w:lastRenderedPageBreak/>
        <w:drawing>
          <wp:inline distT="0" distB="0" distL="0" distR="0" wp14:anchorId="6E9542A5" wp14:editId="6F2AA65B">
            <wp:extent cx="5731510" cy="3972560"/>
            <wp:effectExtent l="0" t="0" r="2540" b="8890"/>
            <wp:docPr id="121566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8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31D5" w14:textId="77777777" w:rsidR="0065755C" w:rsidRPr="00700DF1" w:rsidRDefault="0065755C" w:rsidP="0065755C">
      <w:pPr>
        <w:numPr>
          <w:ilvl w:val="0"/>
          <w:numId w:val="4"/>
        </w:numPr>
      </w:pPr>
      <w:r w:rsidRPr="00700DF1">
        <w:rPr>
          <w:b/>
          <w:bCs/>
        </w:rPr>
        <w:t>Profitability ratios:</w:t>
      </w:r>
    </w:p>
    <w:p w14:paraId="0F4FAA33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Gross &amp; EBITDA margins:</w:t>
      </w:r>
      <w:r w:rsidRPr="00700DF1">
        <w:t xml:space="preserve"> Given stable cost structure and rising profits, margins are likely strong and improving over time.</w:t>
      </w:r>
    </w:p>
    <w:p w14:paraId="7E4116A1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Net profit margin:</w:t>
      </w:r>
      <w:r w:rsidRPr="00700DF1">
        <w:t xml:space="preserve"> Rising net profit faster than sales suggests margin expansion and better operational efficiency.</w:t>
      </w:r>
    </w:p>
    <w:p w14:paraId="220E0FDB" w14:textId="77777777" w:rsidR="0065755C" w:rsidRPr="00700DF1" w:rsidRDefault="0065755C" w:rsidP="0065755C">
      <w:pPr>
        <w:numPr>
          <w:ilvl w:val="0"/>
          <w:numId w:val="4"/>
        </w:numPr>
      </w:pPr>
      <w:r w:rsidRPr="00700DF1">
        <w:rPr>
          <w:b/>
          <w:bCs/>
        </w:rPr>
        <w:t>Return ratios:</w:t>
      </w:r>
    </w:p>
    <w:p w14:paraId="108317A8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ROE:</w:t>
      </w:r>
      <w:r w:rsidRPr="00700DF1">
        <w:t xml:space="preserve"> Large increase in reserves and high profitability imply strong return on equity, a key strength for HUL.</w:t>
      </w:r>
    </w:p>
    <w:p w14:paraId="102F4C5E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ROA:</w:t>
      </w:r>
      <w:r w:rsidRPr="00700DF1">
        <w:t xml:space="preserve"> Growing assets with higher profits point to healthy asset productivity.</w:t>
      </w:r>
    </w:p>
    <w:p w14:paraId="01917ECE" w14:textId="77777777" w:rsidR="0065755C" w:rsidRPr="00700DF1" w:rsidRDefault="0065755C" w:rsidP="0065755C">
      <w:pPr>
        <w:numPr>
          <w:ilvl w:val="0"/>
          <w:numId w:val="4"/>
        </w:numPr>
      </w:pPr>
      <w:r w:rsidRPr="00700DF1">
        <w:rPr>
          <w:b/>
          <w:bCs/>
        </w:rPr>
        <w:t>Solvency ratios:</w:t>
      </w:r>
    </w:p>
    <w:p w14:paraId="45BA5158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Debt/Equity &amp; Debt ratio:</w:t>
      </w:r>
      <w:r w:rsidRPr="00700DF1">
        <w:t xml:space="preserve"> Low borrowings relative to equity indicate conservative leverage and high solvency.</w:t>
      </w:r>
    </w:p>
    <w:p w14:paraId="17CF72C4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Interest coverage:</w:t>
      </w:r>
      <w:r w:rsidRPr="00700DF1">
        <w:t xml:space="preserve"> Rising EBIT and modest interest expense suggest very comfortable interest coverage.</w:t>
      </w:r>
    </w:p>
    <w:p w14:paraId="0C728752" w14:textId="77777777" w:rsidR="0065755C" w:rsidRPr="00700DF1" w:rsidRDefault="0065755C" w:rsidP="0065755C">
      <w:pPr>
        <w:numPr>
          <w:ilvl w:val="0"/>
          <w:numId w:val="4"/>
        </w:numPr>
      </w:pPr>
      <w:r w:rsidRPr="00700DF1">
        <w:rPr>
          <w:b/>
          <w:bCs/>
        </w:rPr>
        <w:t>Liquidity ratios:</w:t>
      </w:r>
    </w:p>
    <w:p w14:paraId="20BE1E85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Current &amp; quick ratios:</w:t>
      </w:r>
      <w:r w:rsidRPr="00700DF1">
        <w:t xml:space="preserve"> With solid receivables, inventory, and cash, short-term liquidity appears adequate to strong.</w:t>
      </w:r>
    </w:p>
    <w:p w14:paraId="38A5A3F7" w14:textId="77777777" w:rsidR="0065755C" w:rsidRPr="00700DF1" w:rsidRDefault="0065755C" w:rsidP="0065755C">
      <w:pPr>
        <w:numPr>
          <w:ilvl w:val="0"/>
          <w:numId w:val="4"/>
        </w:numPr>
      </w:pPr>
      <w:r w:rsidRPr="00700DF1">
        <w:rPr>
          <w:b/>
          <w:bCs/>
        </w:rPr>
        <w:lastRenderedPageBreak/>
        <w:t>Market ratios:</w:t>
      </w:r>
    </w:p>
    <w:p w14:paraId="459017CB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EPS &amp; P/E:</w:t>
      </w:r>
      <w:r w:rsidRPr="00700DF1">
        <w:t xml:space="preserve"> High valuation multiples (P/E) are typical for HUL, reflecting its defensive, high-quality earnings profile.</w:t>
      </w:r>
    </w:p>
    <w:p w14:paraId="43ED9126" w14:textId="77777777" w:rsidR="0065755C" w:rsidRPr="00700DF1" w:rsidRDefault="0065755C" w:rsidP="0065755C">
      <w:pPr>
        <w:numPr>
          <w:ilvl w:val="1"/>
          <w:numId w:val="4"/>
        </w:numPr>
      </w:pPr>
      <w:r w:rsidRPr="00700DF1">
        <w:rPr>
          <w:b/>
          <w:bCs/>
        </w:rPr>
        <w:t>Book value per share:</w:t>
      </w:r>
      <w:r w:rsidRPr="00700DF1">
        <w:t xml:space="preserve"> Rising reserves and stable share capital support increasing book value per share.</w:t>
      </w:r>
    </w:p>
    <w:p w14:paraId="0BE646CF" w14:textId="77777777" w:rsidR="0065755C" w:rsidRDefault="0065755C" w:rsidP="0065755C">
      <w:pPr>
        <w:rPr>
          <w:b/>
          <w:bCs/>
        </w:rPr>
      </w:pPr>
    </w:p>
    <w:p w14:paraId="1C372B2C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Trend analysis</w:t>
      </w:r>
    </w:p>
    <w:p w14:paraId="0B8004C3" w14:textId="77777777" w:rsidR="0065755C" w:rsidRDefault="0065755C" w:rsidP="0065755C">
      <w:r w:rsidRPr="00700DF1">
        <w:t xml:space="preserve">Sales: 33,162 → 64,468 </w:t>
      </w:r>
    </w:p>
    <w:p w14:paraId="49437525" w14:textId="77777777" w:rsidR="0065755C" w:rsidRDefault="0065755C" w:rsidP="0065755C">
      <w:r w:rsidRPr="00700DF1">
        <w:t xml:space="preserve">Net profit: 4,476 → 15,040 </w:t>
      </w:r>
    </w:p>
    <w:p w14:paraId="3BF1F125" w14:textId="77777777" w:rsidR="0065755C" w:rsidRDefault="0065755C" w:rsidP="0065755C">
      <w:r w:rsidRPr="00700DF1">
        <w:t>Cash from Operating Activity: 5,185 → 10,999</w:t>
      </w:r>
    </w:p>
    <w:p w14:paraId="4BBCF713" w14:textId="77777777" w:rsidR="0065755C" w:rsidRPr="00700DF1" w:rsidRDefault="0065755C" w:rsidP="0065755C">
      <w:r w:rsidRPr="001D778D">
        <w:rPr>
          <w:noProof/>
        </w:rPr>
        <w:drawing>
          <wp:inline distT="0" distB="0" distL="0" distR="0" wp14:anchorId="523CD8FC" wp14:editId="035D12FE">
            <wp:extent cx="4902452" cy="3029106"/>
            <wp:effectExtent l="0" t="0" r="0" b="0"/>
            <wp:docPr id="174477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D8E" w14:textId="77777777" w:rsidR="0065755C" w:rsidRPr="00700DF1" w:rsidRDefault="0065755C" w:rsidP="0065755C">
      <w:pPr>
        <w:numPr>
          <w:ilvl w:val="0"/>
          <w:numId w:val="5"/>
        </w:numPr>
      </w:pPr>
      <w:r w:rsidRPr="00700DF1">
        <w:rPr>
          <w:b/>
          <w:bCs/>
        </w:rPr>
        <w:t>Revenue trend:</w:t>
      </w:r>
    </w:p>
    <w:p w14:paraId="09606869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Upward trajectory:</w:t>
      </w:r>
      <w:r w:rsidRPr="00700DF1">
        <w:t xml:space="preserve"> Sales show a clear long-term uptrend, with no major structural decline, indicating sustained demand and market share.</w:t>
      </w:r>
    </w:p>
    <w:p w14:paraId="529243FC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Short-term fluctuations:</w:t>
      </w:r>
      <w:r w:rsidRPr="00700DF1">
        <w:t xml:space="preserve"> Minor year-on-year variations are visible but remain within a narrow band, typical for a mature FMCG player.</w:t>
      </w:r>
    </w:p>
    <w:p w14:paraId="5046EB18" w14:textId="77777777" w:rsidR="0065755C" w:rsidRPr="00700DF1" w:rsidRDefault="0065755C" w:rsidP="0065755C">
      <w:pPr>
        <w:numPr>
          <w:ilvl w:val="0"/>
          <w:numId w:val="5"/>
        </w:numPr>
      </w:pPr>
      <w:r w:rsidRPr="00700DF1">
        <w:rPr>
          <w:b/>
          <w:bCs/>
        </w:rPr>
        <w:t>Profit trend:</w:t>
      </w:r>
    </w:p>
    <w:p w14:paraId="4BB5DBAC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Steady profit growth:</w:t>
      </w:r>
      <w:r w:rsidRPr="00700DF1">
        <w:t xml:space="preserve"> Net profit has grown consistently, with a notable jump in the latest year, partly aided by higher other income.</w:t>
      </w:r>
    </w:p>
    <w:p w14:paraId="1AB93B2A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Margin resilience:</w:t>
      </w:r>
      <w:r w:rsidRPr="00700DF1">
        <w:t xml:space="preserve"> Profit growth outpacing sales suggests improving margins and operational efficiency.</w:t>
      </w:r>
    </w:p>
    <w:p w14:paraId="4F1F8064" w14:textId="77777777" w:rsidR="0065755C" w:rsidRPr="00700DF1" w:rsidRDefault="0065755C" w:rsidP="0065755C">
      <w:pPr>
        <w:numPr>
          <w:ilvl w:val="0"/>
          <w:numId w:val="5"/>
        </w:numPr>
      </w:pPr>
      <w:r w:rsidRPr="00700DF1">
        <w:rPr>
          <w:b/>
          <w:bCs/>
        </w:rPr>
        <w:lastRenderedPageBreak/>
        <w:t>Cash flow trend:</w:t>
      </w:r>
    </w:p>
    <w:p w14:paraId="068D56C5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CFO growth:</w:t>
      </w:r>
      <w:r w:rsidRPr="00700DF1">
        <w:t xml:space="preserve"> Operating cash flows have increased broadly in line with profits, confirming that earnings are backed by cash.</w:t>
      </w:r>
    </w:p>
    <w:p w14:paraId="77468041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FCF trend:</w:t>
      </w:r>
      <w:r w:rsidRPr="00700DF1">
        <w:t xml:space="preserve"> Free cash flow shows a strong upward pattern, supporting ongoing dividends and reinvestment.</w:t>
      </w:r>
    </w:p>
    <w:p w14:paraId="66B342C2" w14:textId="77777777" w:rsidR="0065755C" w:rsidRPr="00700DF1" w:rsidRDefault="0065755C" w:rsidP="0065755C">
      <w:pPr>
        <w:numPr>
          <w:ilvl w:val="0"/>
          <w:numId w:val="5"/>
        </w:numPr>
      </w:pPr>
      <w:r w:rsidRPr="00700DF1">
        <w:rPr>
          <w:b/>
          <w:bCs/>
        </w:rPr>
        <w:t>Balance sheet trend:</w:t>
      </w:r>
    </w:p>
    <w:p w14:paraId="06150424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Asset expansion:</w:t>
      </w:r>
      <w:r w:rsidRPr="00700DF1">
        <w:t xml:space="preserve"> Net block and other assets have grown steadily, reflecting continuous investment in capacity and capabilities.</w:t>
      </w:r>
    </w:p>
    <w:p w14:paraId="6F4C8FA0" w14:textId="77777777" w:rsidR="0065755C" w:rsidRPr="00700DF1" w:rsidRDefault="0065755C" w:rsidP="0065755C">
      <w:pPr>
        <w:numPr>
          <w:ilvl w:val="1"/>
          <w:numId w:val="5"/>
        </w:numPr>
      </w:pPr>
      <w:r w:rsidRPr="00700DF1">
        <w:rPr>
          <w:b/>
          <w:bCs/>
        </w:rPr>
        <w:t>Equity build-up:</w:t>
      </w:r>
      <w:r w:rsidRPr="00700DF1">
        <w:t xml:space="preserve"> Reserves have expanded significantly, indicating consistent retention of earnings.</w:t>
      </w:r>
    </w:p>
    <w:p w14:paraId="672ECFF4" w14:textId="77777777" w:rsidR="0065755C" w:rsidRDefault="0065755C" w:rsidP="0065755C">
      <w:pPr>
        <w:rPr>
          <w:b/>
          <w:bCs/>
        </w:rPr>
      </w:pPr>
    </w:p>
    <w:p w14:paraId="09ECB3F6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Competitor analysis</w:t>
      </w:r>
    </w:p>
    <w:p w14:paraId="58C0A28E" w14:textId="77777777" w:rsidR="0065755C" w:rsidRDefault="0065755C" w:rsidP="0065755C">
      <w:r w:rsidRPr="00700DF1">
        <w:t xml:space="preserve">Comp Analysis: Hindustan Unilever, ITC, Hindustan Foods, Godavari </w:t>
      </w:r>
      <w:proofErr w:type="spellStart"/>
      <w:r w:rsidRPr="00700DF1">
        <w:t>Bioref</w:t>
      </w:r>
      <w:proofErr w:type="spellEnd"/>
      <w:r w:rsidRPr="00700DF1">
        <w:t xml:space="preserve">. </w:t>
      </w:r>
    </w:p>
    <w:p w14:paraId="712918A5" w14:textId="77777777" w:rsidR="0065755C" w:rsidRPr="00700DF1" w:rsidRDefault="0065755C" w:rsidP="0065755C">
      <w:r w:rsidRPr="00700DF1">
        <w:t>HUL Share Price: 2,135.8; Shares Outstanding: 234.96</w:t>
      </w:r>
    </w:p>
    <w:p w14:paraId="50A363D5" w14:textId="77777777" w:rsidR="0065755C" w:rsidRPr="00700DF1" w:rsidRDefault="0065755C" w:rsidP="0065755C">
      <w:pPr>
        <w:numPr>
          <w:ilvl w:val="0"/>
          <w:numId w:val="6"/>
        </w:numPr>
      </w:pPr>
      <w:r w:rsidRPr="00700DF1">
        <w:rPr>
          <w:b/>
          <w:bCs/>
        </w:rPr>
        <w:t>Peer set:</w:t>
      </w:r>
    </w:p>
    <w:p w14:paraId="2739BFD1" w14:textId="77777777" w:rsidR="0065755C" w:rsidRPr="00700DF1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>ITC:</w:t>
      </w:r>
      <w:r w:rsidRPr="00700DF1">
        <w:t xml:space="preserve"> Large diversified conglomerate with significant FMCG, cigarettes, and other businesses.</w:t>
      </w:r>
    </w:p>
    <w:p w14:paraId="6D807BCE" w14:textId="77777777" w:rsidR="0065755C" w:rsidRPr="00700DF1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 xml:space="preserve">Hindustan Foods &amp; Godavari </w:t>
      </w:r>
      <w:proofErr w:type="spellStart"/>
      <w:r w:rsidRPr="00700DF1">
        <w:rPr>
          <w:b/>
          <w:bCs/>
        </w:rPr>
        <w:t>Bioref</w:t>
      </w:r>
      <w:proofErr w:type="spellEnd"/>
      <w:r w:rsidRPr="00700DF1">
        <w:rPr>
          <w:b/>
          <w:bCs/>
        </w:rPr>
        <w:t>:</w:t>
      </w:r>
      <w:r w:rsidRPr="00700DF1">
        <w:t xml:space="preserve"> Smaller players, more niche compared to HUL’s broad FMCG footprint.</w:t>
      </w:r>
    </w:p>
    <w:p w14:paraId="751A8797" w14:textId="77777777" w:rsidR="0065755C" w:rsidRPr="00700DF1" w:rsidRDefault="0065755C" w:rsidP="0065755C">
      <w:pPr>
        <w:numPr>
          <w:ilvl w:val="0"/>
          <w:numId w:val="6"/>
        </w:numPr>
      </w:pPr>
      <w:r w:rsidRPr="00700DF1">
        <w:rPr>
          <w:b/>
          <w:bCs/>
        </w:rPr>
        <w:t>Relative scale:</w:t>
      </w:r>
    </w:p>
    <w:p w14:paraId="15D0B281" w14:textId="77777777" w:rsidR="0065755C" w:rsidRPr="00700DF1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>HUL vs peers:</w:t>
      </w:r>
      <w:r w:rsidRPr="00700DF1">
        <w:t xml:space="preserve"> HUL’s market cap and revenue base are substantially larger than Hindustan Foods and Godavari </w:t>
      </w:r>
      <w:proofErr w:type="spellStart"/>
      <w:r w:rsidRPr="00700DF1">
        <w:t>Bioref</w:t>
      </w:r>
      <w:proofErr w:type="spellEnd"/>
      <w:r w:rsidRPr="00700DF1">
        <w:t>, and comparable to or higher than ITC’s FMCG segment.</w:t>
      </w:r>
    </w:p>
    <w:p w14:paraId="025CC214" w14:textId="77777777" w:rsidR="0065755C" w:rsidRPr="00700DF1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>Enterprise value metrics:</w:t>
      </w:r>
      <w:r w:rsidRPr="00700DF1">
        <w:t xml:space="preserve"> The sheet is structured to compare EV/Revenue, EV/EBITDA, and P/E, indicating that HUL likely trades at a premium valuation versus peers due to brand strength and profitability.</w:t>
      </w:r>
    </w:p>
    <w:p w14:paraId="3B8E2A1F" w14:textId="77777777" w:rsidR="0065755C" w:rsidRPr="00700DF1" w:rsidRDefault="0065755C" w:rsidP="0065755C">
      <w:pPr>
        <w:numPr>
          <w:ilvl w:val="0"/>
          <w:numId w:val="6"/>
        </w:numPr>
      </w:pPr>
      <w:r w:rsidRPr="00700DF1">
        <w:rPr>
          <w:b/>
          <w:bCs/>
        </w:rPr>
        <w:t>Valuation positioning:</w:t>
      </w:r>
    </w:p>
    <w:p w14:paraId="57F2AB39" w14:textId="77777777" w:rsidR="0065755C" w:rsidRPr="00700DF1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>Premium multiples:</w:t>
      </w:r>
      <w:r w:rsidRPr="00700DF1">
        <w:t xml:space="preserve"> HUL’s higher P/E and EV/EBITDA relative to peers reflect its superior margins, cash flows, and defensive business model.</w:t>
      </w:r>
    </w:p>
    <w:p w14:paraId="139F90E3" w14:textId="77777777" w:rsidR="0065755C" w:rsidRPr="001D778D" w:rsidRDefault="0065755C" w:rsidP="0065755C">
      <w:pPr>
        <w:numPr>
          <w:ilvl w:val="1"/>
          <w:numId w:val="6"/>
        </w:numPr>
      </w:pPr>
      <w:r w:rsidRPr="00700DF1">
        <w:rPr>
          <w:b/>
          <w:bCs/>
        </w:rPr>
        <w:t>Implied value:</w:t>
      </w:r>
      <w:r w:rsidRPr="00700DF1">
        <w:t xml:space="preserve"> The model aims to derive implied enterprise value and implied value per share, suggesting that HUL’s intrinsic value is benchmarked against peer multiples.</w:t>
      </w:r>
    </w:p>
    <w:p w14:paraId="6974856C" w14:textId="77777777" w:rsidR="0065755C" w:rsidRDefault="0065755C" w:rsidP="0065755C">
      <w:pPr>
        <w:rPr>
          <w:b/>
          <w:bCs/>
        </w:rPr>
      </w:pPr>
    </w:p>
    <w:p w14:paraId="362F5DBF" w14:textId="77777777" w:rsidR="0065755C" w:rsidRPr="00700DF1" w:rsidRDefault="0065755C" w:rsidP="0065755C">
      <w:pPr>
        <w:rPr>
          <w:b/>
          <w:bCs/>
        </w:rPr>
      </w:pPr>
      <w:r w:rsidRPr="00700DF1">
        <w:rPr>
          <w:b/>
          <w:bCs/>
        </w:rPr>
        <w:t>Overall assessment and conclusion</w:t>
      </w:r>
    </w:p>
    <w:p w14:paraId="522C363D" w14:textId="77777777" w:rsidR="0065755C" w:rsidRDefault="0065755C" w:rsidP="0065755C">
      <w:r w:rsidRPr="00700DF1">
        <w:t xml:space="preserve">Net profit: 4,476 → 15,040 </w:t>
      </w:r>
    </w:p>
    <w:p w14:paraId="05299170" w14:textId="77777777" w:rsidR="0065755C" w:rsidRDefault="0065755C" w:rsidP="0065755C">
      <w:r w:rsidRPr="00700DF1">
        <w:t xml:space="preserve">Free Cash Flow: 4,248 → 9,667 </w:t>
      </w:r>
    </w:p>
    <w:p w14:paraId="26BD2FE9" w14:textId="77777777" w:rsidR="0065755C" w:rsidRPr="00700DF1" w:rsidRDefault="0065755C" w:rsidP="0065755C">
      <w:r w:rsidRPr="00700DF1">
        <w:t>Reserves: 6,528 → 48,504</w:t>
      </w:r>
    </w:p>
    <w:p w14:paraId="42E3B64A" w14:textId="77777777" w:rsidR="0065755C" w:rsidRPr="00700DF1" w:rsidRDefault="0065755C" w:rsidP="0065755C">
      <w:pPr>
        <w:numPr>
          <w:ilvl w:val="0"/>
          <w:numId w:val="8"/>
        </w:numPr>
      </w:pPr>
      <w:r w:rsidRPr="00700DF1">
        <w:rPr>
          <w:b/>
          <w:bCs/>
        </w:rPr>
        <w:t>Financial strength:</w:t>
      </w:r>
    </w:p>
    <w:p w14:paraId="34D51B03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Robust profitability:</w:t>
      </w:r>
      <w:r w:rsidRPr="00700DF1">
        <w:t xml:space="preserve"> Strong and rising revenues, expanding margins, and consistent net profit growth underline HUL’s high-quality earnings profile.</w:t>
      </w:r>
    </w:p>
    <w:p w14:paraId="6E7A0BAB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Healthy cash flows:</w:t>
      </w:r>
      <w:r w:rsidRPr="00700DF1">
        <w:t xml:space="preserve"> Growing CFO and FCF support both reinvestment and generous dividends, reinforcing financial flexibility.</w:t>
      </w:r>
    </w:p>
    <w:p w14:paraId="5B1E8732" w14:textId="77777777" w:rsidR="0065755C" w:rsidRPr="00700DF1" w:rsidRDefault="0065755C" w:rsidP="0065755C">
      <w:pPr>
        <w:numPr>
          <w:ilvl w:val="0"/>
          <w:numId w:val="8"/>
        </w:numPr>
      </w:pPr>
      <w:r w:rsidRPr="00700DF1">
        <w:rPr>
          <w:b/>
          <w:bCs/>
        </w:rPr>
        <w:t>Balance sheet quality:</w:t>
      </w:r>
    </w:p>
    <w:p w14:paraId="3D356E8B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Low leverage, high reserves, and substantial asset base</w:t>
      </w:r>
      <w:r w:rsidRPr="00700DF1">
        <w:t xml:space="preserve"> make HUL a fundamentally sound and low-risk company.</w:t>
      </w:r>
    </w:p>
    <w:p w14:paraId="45DE9B1E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Adequate liquidity and efficient working capital management</w:t>
      </w:r>
      <w:r w:rsidRPr="00700DF1">
        <w:t xml:space="preserve"> further strengthen its financial resilience.</w:t>
      </w:r>
    </w:p>
    <w:p w14:paraId="55AF9885" w14:textId="77777777" w:rsidR="0065755C" w:rsidRPr="00700DF1" w:rsidRDefault="0065755C" w:rsidP="0065755C">
      <w:pPr>
        <w:numPr>
          <w:ilvl w:val="0"/>
          <w:numId w:val="8"/>
        </w:numPr>
      </w:pPr>
      <w:r w:rsidRPr="00700DF1">
        <w:rPr>
          <w:b/>
          <w:bCs/>
        </w:rPr>
        <w:t>Strategic outlook:</w:t>
      </w:r>
    </w:p>
    <w:p w14:paraId="4C7B1B21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Sustained growth potential</w:t>
      </w:r>
      <w:r w:rsidRPr="00700DF1">
        <w:t xml:space="preserve"> driven by rising consumption, premiumization, and innovation in product portfolio.</w:t>
      </w:r>
    </w:p>
    <w:p w14:paraId="29CCA1A6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rPr>
          <w:b/>
          <w:bCs/>
        </w:rPr>
        <w:t>Key risks</w:t>
      </w:r>
      <w:r w:rsidRPr="00700DF1">
        <w:t xml:space="preserve"> include input cost inflation, competitive intensity, and regulatory changes, but the company’s scale and execution capabilities provide strong mitigation.</w:t>
      </w:r>
    </w:p>
    <w:p w14:paraId="2A621CEC" w14:textId="77777777" w:rsidR="0065755C" w:rsidRPr="00700DF1" w:rsidRDefault="0065755C" w:rsidP="0065755C">
      <w:pPr>
        <w:numPr>
          <w:ilvl w:val="0"/>
          <w:numId w:val="8"/>
        </w:numPr>
      </w:pPr>
      <w:r w:rsidRPr="00700DF1">
        <w:rPr>
          <w:b/>
          <w:bCs/>
        </w:rPr>
        <w:t>Conclusion:</w:t>
      </w:r>
    </w:p>
    <w:p w14:paraId="10FC4561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t>Hindustan Unilever emerges as a financially robust, cash-rich, and highly profitable FMCG leader with strong long-term fundamentals.</w:t>
      </w:r>
    </w:p>
    <w:p w14:paraId="38FE6431" w14:textId="77777777" w:rsidR="0065755C" w:rsidRPr="00700DF1" w:rsidRDefault="0065755C" w:rsidP="0065755C">
      <w:pPr>
        <w:numPr>
          <w:ilvl w:val="1"/>
          <w:numId w:val="8"/>
        </w:numPr>
      </w:pPr>
      <w:r w:rsidRPr="00700DF1">
        <w:t>For a long-term investor, HUL represents a high-quality, relatively low-risk compounder, albeit at a premium valuation that reflects its strengths.</w:t>
      </w:r>
    </w:p>
    <w:p w14:paraId="1256905C" w14:textId="77777777" w:rsidR="0065755C" w:rsidRDefault="0065755C" w:rsidP="0065755C"/>
    <w:p w14:paraId="210712B4" w14:textId="77777777" w:rsidR="003C5764" w:rsidRDefault="003C5764"/>
    <w:sectPr w:rsidR="003C5764" w:rsidSect="00657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C27"/>
    <w:multiLevelType w:val="multilevel"/>
    <w:tmpl w:val="781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A6839"/>
    <w:multiLevelType w:val="multilevel"/>
    <w:tmpl w:val="387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446F8"/>
    <w:multiLevelType w:val="multilevel"/>
    <w:tmpl w:val="AD2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65C98"/>
    <w:multiLevelType w:val="multilevel"/>
    <w:tmpl w:val="051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4F9C"/>
    <w:multiLevelType w:val="multilevel"/>
    <w:tmpl w:val="A9AC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109AD"/>
    <w:multiLevelType w:val="multilevel"/>
    <w:tmpl w:val="C8A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53A8D"/>
    <w:multiLevelType w:val="multilevel"/>
    <w:tmpl w:val="F25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86734"/>
    <w:multiLevelType w:val="multilevel"/>
    <w:tmpl w:val="EB3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11367">
    <w:abstractNumId w:val="1"/>
  </w:num>
  <w:num w:numId="2" w16cid:durableId="964428723">
    <w:abstractNumId w:val="2"/>
  </w:num>
  <w:num w:numId="3" w16cid:durableId="2052880727">
    <w:abstractNumId w:val="0"/>
  </w:num>
  <w:num w:numId="4" w16cid:durableId="2020620477">
    <w:abstractNumId w:val="6"/>
  </w:num>
  <w:num w:numId="5" w16cid:durableId="1129123948">
    <w:abstractNumId w:val="7"/>
  </w:num>
  <w:num w:numId="6" w16cid:durableId="375007825">
    <w:abstractNumId w:val="3"/>
  </w:num>
  <w:num w:numId="7" w16cid:durableId="244077437">
    <w:abstractNumId w:val="5"/>
  </w:num>
  <w:num w:numId="8" w16cid:durableId="1856456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764"/>
    <w:rsid w:val="003C5764"/>
    <w:rsid w:val="0065755C"/>
    <w:rsid w:val="00B5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8BFD"/>
  <w15:chartTrackingRefBased/>
  <w15:docId w15:val="{E317FE7F-958E-4E08-8FA2-53738083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55C"/>
  </w:style>
  <w:style w:type="paragraph" w:styleId="Heading1">
    <w:name w:val="heading 1"/>
    <w:basedOn w:val="Normal"/>
    <w:next w:val="Normal"/>
    <w:link w:val="Heading1Char"/>
    <w:uiPriority w:val="9"/>
    <w:qFormat/>
    <w:rsid w:val="003C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Dsouza</dc:creator>
  <cp:keywords/>
  <dc:description/>
  <cp:lastModifiedBy>Collin Dsouza</cp:lastModifiedBy>
  <cp:revision>2</cp:revision>
  <dcterms:created xsi:type="dcterms:W3CDTF">2026-07-09T07:00:00Z</dcterms:created>
  <dcterms:modified xsi:type="dcterms:W3CDTF">2026-07-09T07:01:00Z</dcterms:modified>
</cp:coreProperties>
</file>