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https://ieeexplore.ieee.org/stamp/stamp.jsp?tp=&amp;arnumber=8593780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https://robotics.mit.edu/letting-robots-manipulate-cables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https://www.mdpi.com/2075-1702/8/3/46/htm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https://journals.sagepub.com/doi/full/10.1177/02783649211027233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https://portal.effra.eu/project/1941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https://www.researchgate.net/publication/326478205_Dual-arm_robotic_manipulation_of_flexible_cables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https://ieeexplore.ieee.org/document/8593780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https://ieeexplore.ieee.org/document/8851170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http://ais.shinshu-u.ac.jp/~aislab/papers/201908_icma_sano.pdf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https://www.sciencedirect.com/science/article/abs/pii/S0278612520301552?via%3Dihub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https://par.nsf.gov/servlets/purl/10194661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http://www.roboticsproceedings.org/rss16/p029.pdf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https://arxiv.org/pdf/2002.03236.pdf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https://arxiv.org/pdf/2011.01573.pdf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http://mcube.mit.edu/research/tactile_dexterity.html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https://ieeexplore.ieee.org/stamp/stamp.jsp?tp=&amp;arnumber=9468128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