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9A4CD" w14:textId="77777777" w:rsidR="003753F5" w:rsidRDefault="003753F5" w:rsidP="003753F5"/>
    <w:p w14:paraId="7F38FE6C" w14:textId="77777777" w:rsidR="003753F5" w:rsidRPr="003753F5" w:rsidRDefault="003753F5" w:rsidP="003753F5">
      <w:pPr>
        <w:rPr>
          <w:rFonts w:ascii="Times New Roman" w:hAnsi="Times New Roman" w:cs="Times New Roman"/>
        </w:rPr>
      </w:pPr>
      <w:r w:rsidRPr="003753F5">
        <w:rPr>
          <w:rFonts w:ascii="Times New Roman" w:hAnsi="Times New Roman" w:cs="Times New Roman"/>
        </w:rPr>
        <w:t>The hydroponics system will comply with current engineering standards to ensure electrical safety, reliable operation, and professional practice. Electrical design and wiring will reference IEEE 1100-2005 (Emerald Book), Recommended Practice for Powering and Grounding Electronic Equipment, published by the Institute of Electrical and Electronics Engineers (IEEE). Although IEEE classifies this document as inactive-reserved, it remains a recognized guide for over-current protection, conductor sizing, and grounding of low-voltage systems that convert 120 V AC mains to the project’s 3.3 V and 12 V rails. All printed-circuit boards will follow IPC-2221C (2023), Generic Standard on Printed Board Design, and will be inspected to IPC-A-600, Acceptability of Printed Boards. Both standards are issued and administered by the IPC – Association Connecting Electronics Industries, which sets worldwide requirements for PCB design and fabrication to ensure signal integrity and long-term reliability.</w:t>
      </w:r>
    </w:p>
    <w:p w14:paraId="488564CD" w14:textId="60EDBCC0" w:rsidR="003753F5" w:rsidRPr="003753F5" w:rsidRDefault="003753F5" w:rsidP="003753F5">
      <w:pPr>
        <w:rPr>
          <w:rFonts w:ascii="Times New Roman" w:hAnsi="Times New Roman" w:cs="Times New Roman"/>
        </w:rPr>
      </w:pPr>
      <w:r w:rsidRPr="003753F5">
        <w:rPr>
          <w:rFonts w:ascii="Times New Roman" w:hAnsi="Times New Roman" w:cs="Times New Roman"/>
        </w:rPr>
        <w:t>Safety-critical power components, including the AC-DC converter, will meet UL 62368-1, 4th Edition (2025), developed by Underwriters Laboratories (UL) to define safety requirements for information-technology and audio/video equipment used within the United States. All engineering work will also adhere to the IEEE Code of Ethics (2020 revision), the professional conduct guideline of the Institute of Electrical and Electronics Engineers (IEEE), which commits the team to prioritize public welfare, provide honest and transparent communication, and respect intellectual property. By explicitly following these standards and their presiding authoritie</w:t>
      </w:r>
      <w:r w:rsidRPr="003753F5">
        <w:rPr>
          <w:rFonts w:ascii="Times New Roman" w:hAnsi="Times New Roman" w:cs="Times New Roman"/>
        </w:rPr>
        <w:t xml:space="preserve">s, </w:t>
      </w:r>
      <w:r w:rsidRPr="003753F5">
        <w:rPr>
          <w:rFonts w:ascii="Times New Roman" w:hAnsi="Times New Roman" w:cs="Times New Roman"/>
        </w:rPr>
        <w:t>IEEE, IPC, and UL</w:t>
      </w:r>
      <w:r w:rsidRPr="003753F5">
        <w:rPr>
          <w:rFonts w:ascii="Times New Roman" w:hAnsi="Times New Roman" w:cs="Times New Roman"/>
        </w:rPr>
        <w:t>. T</w:t>
      </w:r>
      <w:r w:rsidRPr="003753F5">
        <w:rPr>
          <w:rFonts w:ascii="Times New Roman" w:hAnsi="Times New Roman" w:cs="Times New Roman"/>
        </w:rPr>
        <w:t>he hydroponics system will be designed and built to recognized, professional engineering practices.</w:t>
      </w:r>
    </w:p>
    <w:p w14:paraId="4087FBCD" w14:textId="77777777" w:rsidR="00E01BF0" w:rsidRPr="003753F5" w:rsidRDefault="00E01BF0" w:rsidP="003753F5"/>
    <w:sectPr w:rsidR="00E01BF0" w:rsidRPr="003753F5" w:rsidSect="00E01BF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EAD43" w14:textId="77777777" w:rsidR="00E01BF0" w:rsidRDefault="00E01BF0" w:rsidP="00E01BF0">
      <w:pPr>
        <w:spacing w:after="0" w:line="240" w:lineRule="auto"/>
      </w:pPr>
      <w:r>
        <w:separator/>
      </w:r>
    </w:p>
  </w:endnote>
  <w:endnote w:type="continuationSeparator" w:id="0">
    <w:p w14:paraId="7C739EDD" w14:textId="77777777" w:rsidR="00E01BF0" w:rsidRDefault="00E01BF0" w:rsidP="00E01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51233" w14:textId="77777777" w:rsidR="00E01BF0" w:rsidRDefault="00E01BF0" w:rsidP="00E01BF0">
      <w:pPr>
        <w:spacing w:after="0" w:line="240" w:lineRule="auto"/>
      </w:pPr>
      <w:r>
        <w:separator/>
      </w:r>
    </w:p>
  </w:footnote>
  <w:footnote w:type="continuationSeparator" w:id="0">
    <w:p w14:paraId="386ED2F3" w14:textId="77777777" w:rsidR="00E01BF0" w:rsidRDefault="00E01BF0" w:rsidP="00E01B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BBE71" w14:textId="77777777" w:rsidR="00E01BF0" w:rsidRPr="003753F5" w:rsidRDefault="00E01BF0">
    <w:pPr>
      <w:pStyle w:val="Header"/>
      <w:rPr>
        <w:rFonts w:ascii="Times New Roman" w:hAnsi="Times New Roman" w:cs="Times New Roman"/>
      </w:rPr>
    </w:pPr>
    <w:r w:rsidRPr="003753F5">
      <w:rPr>
        <w:rFonts w:ascii="Times New Roman" w:hAnsi="Times New Roman" w:cs="Times New Roman"/>
      </w:rPr>
      <w:t>ECE 402</w:t>
    </w:r>
  </w:p>
  <w:p w14:paraId="34638124" w14:textId="77777777" w:rsidR="00E01BF0" w:rsidRPr="003753F5" w:rsidRDefault="00E01BF0">
    <w:pPr>
      <w:pStyle w:val="Header"/>
      <w:rPr>
        <w:rFonts w:ascii="Times New Roman" w:hAnsi="Times New Roman" w:cs="Times New Roman"/>
      </w:rPr>
    </w:pPr>
    <w:r w:rsidRPr="003753F5">
      <w:rPr>
        <w:rFonts w:ascii="Times New Roman" w:hAnsi="Times New Roman" w:cs="Times New Roman"/>
      </w:rPr>
      <w:t>Collin Scobie&amp; Alex Reed</w:t>
    </w:r>
  </w:p>
  <w:p w14:paraId="072C58E5" w14:textId="3C56F85E" w:rsidR="00E01BF0" w:rsidRPr="003753F5" w:rsidRDefault="00E01BF0">
    <w:pPr>
      <w:pStyle w:val="Header"/>
      <w:rPr>
        <w:rFonts w:ascii="Times New Roman" w:hAnsi="Times New Roman" w:cs="Times New Roman"/>
      </w:rPr>
    </w:pPr>
    <w:r w:rsidRPr="003753F5">
      <w:rPr>
        <w:rFonts w:ascii="Times New Roman" w:hAnsi="Times New Roman" w:cs="Times New Roman"/>
      </w:rPr>
      <w:t>Standards</w:t>
    </w:r>
    <w:r w:rsidRPr="003753F5">
      <w:rPr>
        <w:rFonts w:ascii="Times New Roman" w:hAnsi="Times New Roman" w:cs="Times New Roman"/>
      </w:rPr>
      <w:t xml:space="preserve"> Assignment</w:t>
    </w:r>
    <w:r w:rsidRPr="003753F5">
      <w:rPr>
        <w:rFonts w:ascii="Times New Roman" w:hAnsi="Times New Roman" w:cs="Times New Roman"/>
      </w:rPr>
      <w:br/>
    </w:r>
    <w:r w:rsidRPr="003753F5">
      <w:rPr>
        <w:rFonts w:ascii="Times New Roman" w:hAnsi="Times New Roman" w:cs="Times New Roman"/>
      </w:rPr>
      <w:t>9/18/2025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BF0"/>
    <w:rsid w:val="00194557"/>
    <w:rsid w:val="003753F5"/>
    <w:rsid w:val="007C4A3F"/>
    <w:rsid w:val="00850F19"/>
    <w:rsid w:val="00E01BF0"/>
    <w:rsid w:val="00E15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08159"/>
  <w15:chartTrackingRefBased/>
  <w15:docId w15:val="{67E56208-6B85-4675-B203-C2B0B28D6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B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BF0"/>
    <w:rPr>
      <w:rFonts w:eastAsiaTheme="majorEastAsia" w:cstheme="majorBidi"/>
      <w:color w:val="272727" w:themeColor="text1" w:themeTint="D8"/>
    </w:rPr>
  </w:style>
  <w:style w:type="paragraph" w:styleId="Title">
    <w:name w:val="Title"/>
    <w:basedOn w:val="Normal"/>
    <w:next w:val="Normal"/>
    <w:link w:val="TitleChar"/>
    <w:uiPriority w:val="10"/>
    <w:qFormat/>
    <w:rsid w:val="00E01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BF0"/>
    <w:pPr>
      <w:spacing w:before="160"/>
      <w:jc w:val="center"/>
    </w:pPr>
    <w:rPr>
      <w:i/>
      <w:iCs/>
      <w:color w:val="404040" w:themeColor="text1" w:themeTint="BF"/>
    </w:rPr>
  </w:style>
  <w:style w:type="character" w:customStyle="1" w:styleId="QuoteChar">
    <w:name w:val="Quote Char"/>
    <w:basedOn w:val="DefaultParagraphFont"/>
    <w:link w:val="Quote"/>
    <w:uiPriority w:val="29"/>
    <w:rsid w:val="00E01BF0"/>
    <w:rPr>
      <w:i/>
      <w:iCs/>
      <w:color w:val="404040" w:themeColor="text1" w:themeTint="BF"/>
    </w:rPr>
  </w:style>
  <w:style w:type="paragraph" w:styleId="ListParagraph">
    <w:name w:val="List Paragraph"/>
    <w:basedOn w:val="Normal"/>
    <w:uiPriority w:val="34"/>
    <w:qFormat/>
    <w:rsid w:val="00E01BF0"/>
    <w:pPr>
      <w:ind w:left="720"/>
      <w:contextualSpacing/>
    </w:pPr>
  </w:style>
  <w:style w:type="character" w:styleId="IntenseEmphasis">
    <w:name w:val="Intense Emphasis"/>
    <w:basedOn w:val="DefaultParagraphFont"/>
    <w:uiPriority w:val="21"/>
    <w:qFormat/>
    <w:rsid w:val="00E01BF0"/>
    <w:rPr>
      <w:i/>
      <w:iCs/>
      <w:color w:val="0F4761" w:themeColor="accent1" w:themeShade="BF"/>
    </w:rPr>
  </w:style>
  <w:style w:type="paragraph" w:styleId="IntenseQuote">
    <w:name w:val="Intense Quote"/>
    <w:basedOn w:val="Normal"/>
    <w:next w:val="Normal"/>
    <w:link w:val="IntenseQuoteChar"/>
    <w:uiPriority w:val="30"/>
    <w:qFormat/>
    <w:rsid w:val="00E01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BF0"/>
    <w:rPr>
      <w:i/>
      <w:iCs/>
      <w:color w:val="0F4761" w:themeColor="accent1" w:themeShade="BF"/>
    </w:rPr>
  </w:style>
  <w:style w:type="character" w:styleId="IntenseReference">
    <w:name w:val="Intense Reference"/>
    <w:basedOn w:val="DefaultParagraphFont"/>
    <w:uiPriority w:val="32"/>
    <w:qFormat/>
    <w:rsid w:val="00E01BF0"/>
    <w:rPr>
      <w:b/>
      <w:bCs/>
      <w:smallCaps/>
      <w:color w:val="0F4761" w:themeColor="accent1" w:themeShade="BF"/>
      <w:spacing w:val="5"/>
    </w:rPr>
  </w:style>
  <w:style w:type="paragraph" w:styleId="Header">
    <w:name w:val="header"/>
    <w:basedOn w:val="Normal"/>
    <w:link w:val="HeaderChar"/>
    <w:uiPriority w:val="99"/>
    <w:unhideWhenUsed/>
    <w:rsid w:val="00E01B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BF0"/>
  </w:style>
  <w:style w:type="paragraph" w:styleId="Footer">
    <w:name w:val="footer"/>
    <w:basedOn w:val="Normal"/>
    <w:link w:val="FooterChar"/>
    <w:uiPriority w:val="99"/>
    <w:unhideWhenUsed/>
    <w:rsid w:val="00E01B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83773">
      <w:bodyDiv w:val="1"/>
      <w:marLeft w:val="0"/>
      <w:marRight w:val="0"/>
      <w:marTop w:val="0"/>
      <w:marBottom w:val="0"/>
      <w:divBdr>
        <w:top w:val="none" w:sz="0" w:space="0" w:color="auto"/>
        <w:left w:val="none" w:sz="0" w:space="0" w:color="auto"/>
        <w:bottom w:val="none" w:sz="0" w:space="0" w:color="auto"/>
        <w:right w:val="none" w:sz="0" w:space="0" w:color="auto"/>
      </w:divBdr>
    </w:div>
    <w:div w:id="402487966">
      <w:bodyDiv w:val="1"/>
      <w:marLeft w:val="0"/>
      <w:marRight w:val="0"/>
      <w:marTop w:val="0"/>
      <w:marBottom w:val="0"/>
      <w:divBdr>
        <w:top w:val="none" w:sz="0" w:space="0" w:color="auto"/>
        <w:left w:val="none" w:sz="0" w:space="0" w:color="auto"/>
        <w:bottom w:val="none" w:sz="0" w:space="0" w:color="auto"/>
        <w:right w:val="none" w:sz="0" w:space="0" w:color="auto"/>
      </w:divBdr>
    </w:div>
    <w:div w:id="445348159">
      <w:bodyDiv w:val="1"/>
      <w:marLeft w:val="0"/>
      <w:marRight w:val="0"/>
      <w:marTop w:val="0"/>
      <w:marBottom w:val="0"/>
      <w:divBdr>
        <w:top w:val="none" w:sz="0" w:space="0" w:color="auto"/>
        <w:left w:val="none" w:sz="0" w:space="0" w:color="auto"/>
        <w:bottom w:val="none" w:sz="0" w:space="0" w:color="auto"/>
        <w:right w:val="none" w:sz="0" w:space="0" w:color="auto"/>
      </w:divBdr>
    </w:div>
    <w:div w:id="450516442">
      <w:bodyDiv w:val="1"/>
      <w:marLeft w:val="0"/>
      <w:marRight w:val="0"/>
      <w:marTop w:val="0"/>
      <w:marBottom w:val="0"/>
      <w:divBdr>
        <w:top w:val="none" w:sz="0" w:space="0" w:color="auto"/>
        <w:left w:val="none" w:sz="0" w:space="0" w:color="auto"/>
        <w:bottom w:val="none" w:sz="0" w:space="0" w:color="auto"/>
        <w:right w:val="none" w:sz="0" w:space="0" w:color="auto"/>
      </w:divBdr>
    </w:div>
    <w:div w:id="536506759">
      <w:bodyDiv w:val="1"/>
      <w:marLeft w:val="0"/>
      <w:marRight w:val="0"/>
      <w:marTop w:val="0"/>
      <w:marBottom w:val="0"/>
      <w:divBdr>
        <w:top w:val="none" w:sz="0" w:space="0" w:color="auto"/>
        <w:left w:val="none" w:sz="0" w:space="0" w:color="auto"/>
        <w:bottom w:val="none" w:sz="0" w:space="0" w:color="auto"/>
        <w:right w:val="none" w:sz="0" w:space="0" w:color="auto"/>
      </w:divBdr>
    </w:div>
    <w:div w:id="727806347">
      <w:bodyDiv w:val="1"/>
      <w:marLeft w:val="0"/>
      <w:marRight w:val="0"/>
      <w:marTop w:val="0"/>
      <w:marBottom w:val="0"/>
      <w:divBdr>
        <w:top w:val="none" w:sz="0" w:space="0" w:color="auto"/>
        <w:left w:val="none" w:sz="0" w:space="0" w:color="auto"/>
        <w:bottom w:val="none" w:sz="0" w:space="0" w:color="auto"/>
        <w:right w:val="none" w:sz="0" w:space="0" w:color="auto"/>
      </w:divBdr>
    </w:div>
    <w:div w:id="904991740">
      <w:bodyDiv w:val="1"/>
      <w:marLeft w:val="0"/>
      <w:marRight w:val="0"/>
      <w:marTop w:val="0"/>
      <w:marBottom w:val="0"/>
      <w:divBdr>
        <w:top w:val="none" w:sz="0" w:space="0" w:color="auto"/>
        <w:left w:val="none" w:sz="0" w:space="0" w:color="auto"/>
        <w:bottom w:val="none" w:sz="0" w:space="0" w:color="auto"/>
        <w:right w:val="none" w:sz="0" w:space="0" w:color="auto"/>
      </w:divBdr>
    </w:div>
    <w:div w:id="1240288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Wolcott Scobie</dc:creator>
  <cp:keywords/>
  <dc:description/>
  <cp:lastModifiedBy>Collin Scobie</cp:lastModifiedBy>
  <cp:revision>1</cp:revision>
  <dcterms:created xsi:type="dcterms:W3CDTF">2025-09-11T05:30:00Z</dcterms:created>
  <dcterms:modified xsi:type="dcterms:W3CDTF">2025-09-11T05:58:00Z</dcterms:modified>
</cp:coreProperties>
</file>