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pPr>
      <w:r>
        <w:rPr>
          <w:rFonts w:ascii="Arial" w:cs="Arial" w:eastAsia="Arial" w:hAnsi="Arial"/>
          <w:b/>
          <w:bCs/>
          <w:color w:val="0C1021"/>
          <w:sz w:val="72"/>
          <w:szCs w:val="72"/>
        </w:rPr>
        <w:t xml:space="preserve">SphereSDS</w:t>
      </w:r>
    </w:p>
    <w:p>
      <w:pPr>
        <w:spacing w:after="20" w:before="0"/>
      </w:pPr>
      <w:r>
        <w:rPr>
          <w:rFonts w:ascii="Arial" w:cs="Arial" w:eastAsia="Arial" w:hAnsi="Arial"/>
          <w:color w:val="D97010"/>
          <w:sz w:val="36"/>
          <w:szCs w:val="36"/>
        </w:rPr>
        <w:t xml:space="preserve">Product Vision and Strategy Brief</w:t>
      </w:r>
    </w:p>
    <w:p>
      <w:pPr>
        <w:spacing w:after="320" w:before="0"/>
      </w:pPr>
      <w:r>
        <w:rPr>
          <w:rFonts w:ascii="Arial" w:cs="Arial" w:eastAsia="Arial" w:hAnsi="Arial"/>
          <w:color w:val="6B6870"/>
          <w:sz w:val="20"/>
          <w:szCs w:val="20"/>
        </w:rPr>
        <w:t xml:space="preserve">Captured from founder session with Collins, Bold Vision MultiTech</w:t>
      </w:r>
    </w:p>
    <w:p>
      <w:pPr>
        <w:pBdr>
          <w:bottom w:val="single" w:color="D97010" w:sz="4" w:space="1"/>
        </w:pBdr>
        <w:spacing w:after="160" w:before="160"/>
      </w:pPr>
    </w:p>
    <w:p>
      <w:pPr>
        <w:spacing w:after="80" w:before="80"/>
      </w:pPr>
      <w:r>
        <w:t xml:space="preserve"/>
      </w:r>
    </w:p>
    <w:p>
      <w:pPr>
        <w:pStyle w:val="Heading1"/>
        <w:spacing w:after="120" w:before="360"/>
      </w:pPr>
      <w:r>
        <w:rPr>
          <w:rFonts w:ascii="Arial" w:cs="Arial" w:eastAsia="Arial" w:hAnsi="Arial"/>
          <w:b/>
          <w:bCs/>
          <w:color w:val="0C1021"/>
          <w:sz w:val="32"/>
          <w:szCs w:val="32"/>
        </w:rPr>
        <w:t xml:space="preserve">1. Executive Summary</w:t>
      </w:r>
    </w:p>
    <w:p>
      <w:pPr>
        <w:spacing w:after="100" w:before="60"/>
      </w:pPr>
      <w:r>
        <w:rPr>
          <w:rFonts w:ascii="Arial" w:cs="Arial" w:eastAsia="Arial" w:hAnsi="Arial"/>
          <w:color w:val="111827"/>
          <w:sz w:val="22"/>
          <w:szCs w:val="22"/>
        </w:rPr>
        <w:t xml:space="preserve">SphereSDS is a multi-module education and learning platform built for scale across Africa. It is not a single-purpose tool. It is an engine that serves schools, universities, corporate organisations, training institutions, individual educators, and students under one roof, with each user type getting exactly what they need from the same underlying infrastructure.</w:t>
      </w:r>
    </w:p>
    <w:p>
      <w:pPr>
        <w:spacing w:after="100" w:before="60"/>
      </w:pPr>
      <w:r>
        <w:rPr>
          <w:rFonts w:ascii="Arial" w:cs="Arial" w:eastAsia="Arial" w:hAnsi="Arial"/>
          <w:color w:val="111827"/>
          <w:sz w:val="22"/>
          <w:szCs w:val="22"/>
        </w:rPr>
        <w:t xml:space="preserve">The platform is currently built on four core modules: Assess (formal examinations and quizzes), Engage (live game-based learning sessions), Learn (structured course delivery), and Train (corporate compliance and skills training paths). The immediate development priority is to add three missing content modules, Guides, Notes, and Documents, which will make Sphere a complete resource creation and distribution platform rather than a tool with gaps.</w:t>
      </w:r>
    </w:p>
    <w:p>
      <w:pPr>
        <w:spacing w:after="100" w:before="60"/>
      </w:pPr>
      <w:r>
        <w:rPr>
          <w:rFonts w:ascii="Arial" w:cs="Arial" w:eastAsia="Arial" w:hAnsi="Arial"/>
          <w:color w:val="111827"/>
          <w:sz w:val="22"/>
          <w:szCs w:val="22"/>
        </w:rPr>
        <w:t xml:space="preserve">This document captures the full product direction from a founder session with Collins. It covers the subscription architecture, marketplace vision, institution onboarding model, the user growth funnel from visitor to paying subscriber, AI-powered add-ons, and all open items requiring further definition before build begins. Every decision recorded here affects database structure, subscription logic, user journeys, and how the platform scales commercially.</w:t>
      </w:r>
    </w:p>
    <w:p>
      <w:pPr>
        <w:spacing w:after="80" w:before="80"/>
      </w:pPr>
      <w:r>
        <w:t xml:space="preserve"/>
      </w:r>
    </w:p>
    <w:p>
      <w:pPr>
        <w:pStyle w:val="Heading1"/>
        <w:spacing w:after="120" w:before="360"/>
      </w:pPr>
      <w:r>
        <w:rPr>
          <w:rFonts w:ascii="Arial" w:cs="Arial" w:eastAsia="Arial" w:hAnsi="Arial"/>
          <w:b/>
          <w:bCs/>
          <w:color w:val="0C1021"/>
          <w:sz w:val="32"/>
          <w:szCs w:val="32"/>
        </w:rPr>
        <w:t xml:space="preserve">2. Vision and Scale Mandate</w:t>
      </w:r>
    </w:p>
    <w:p>
      <w:pPr>
        <w:spacing w:after="100" w:before="60"/>
      </w:pPr>
      <w:r>
        <w:rPr>
          <w:rFonts w:ascii="Arial" w:cs="Arial" w:eastAsia="Arial" w:hAnsi="Arial"/>
          <w:color w:val="111827"/>
          <w:sz w:val="22"/>
          <w:szCs w:val="22"/>
        </w:rPr>
        <w:t xml:space="preserve">The founding principle of SphereSDS is that the platform must be built for scale from the start. Every architectural, pricing, and product decision must be evaluated against the question of whether it limits or enables scale. The platform must be adaptable enough to serve a JHS teacher in Kumasi and a corporate HR team in Accra with the same engine, without forcing either to navigate something that was built for the other.</w:t>
      </w:r>
    </w:p>
    <w:p>
      <w:pPr>
        <w:spacing w:after="100" w:before="60"/>
      </w:pPr>
      <w:r>
        <w:rPr>
          <w:rFonts w:ascii="Arial" w:cs="Arial" w:eastAsia="Arial" w:hAnsi="Arial"/>
          <w:color w:val="111827"/>
          <w:sz w:val="22"/>
          <w:szCs w:val="22"/>
        </w:rPr>
        <w:t xml:space="preserve">Collins identified the following user categories that Sphere must serve:</w:t>
      </w:r>
    </w:p>
    <w:p>
      <w:pPr>
        <w:pStyle w:val="ListParagraph"/>
        <w:numPr>
          <w:ilvl w:val="0"/>
          <w:numId w:val="2"/>
        </w:numPr>
        <w:spacing w:after="40" w:before="40"/>
      </w:pPr>
      <w:r>
        <w:rPr>
          <w:rFonts w:ascii="Arial" w:cs="Arial" w:eastAsia="Arial" w:hAnsi="Arial"/>
          <w:color w:val="111827"/>
          <w:sz w:val="22"/>
          <w:szCs w:val="22"/>
        </w:rPr>
        <w:t xml:space="preserve">Traditional schools: primary, JHS, SHS</w:t>
      </w:r>
    </w:p>
    <w:p>
      <w:pPr>
        <w:pStyle w:val="ListParagraph"/>
        <w:numPr>
          <w:ilvl w:val="0"/>
          <w:numId w:val="2"/>
        </w:numPr>
        <w:spacing w:after="40" w:before="40"/>
      </w:pPr>
      <w:r>
        <w:rPr>
          <w:rFonts w:ascii="Arial" w:cs="Arial" w:eastAsia="Arial" w:hAnsi="Arial"/>
          <w:color w:val="111827"/>
          <w:sz w:val="22"/>
          <w:szCs w:val="22"/>
        </w:rPr>
        <w:t xml:space="preserve">Universities and colleges</w:t>
      </w:r>
    </w:p>
    <w:p>
      <w:pPr>
        <w:pStyle w:val="ListParagraph"/>
        <w:numPr>
          <w:ilvl w:val="0"/>
          <w:numId w:val="2"/>
        </w:numPr>
        <w:spacing w:after="40" w:before="40"/>
      </w:pPr>
      <w:r>
        <w:rPr>
          <w:rFonts w:ascii="Arial" w:cs="Arial" w:eastAsia="Arial" w:hAnsi="Arial"/>
          <w:color w:val="111827"/>
          <w:sz w:val="22"/>
          <w:szCs w:val="22"/>
        </w:rPr>
        <w:t xml:space="preserve">Corporate institutions and companies</w:t>
      </w:r>
    </w:p>
    <w:p>
      <w:pPr>
        <w:pStyle w:val="ListParagraph"/>
        <w:numPr>
          <w:ilvl w:val="0"/>
          <w:numId w:val="2"/>
        </w:numPr>
        <w:spacing w:after="40" w:before="40"/>
      </w:pPr>
      <w:r>
        <w:rPr>
          <w:rFonts w:ascii="Arial" w:cs="Arial" w:eastAsia="Arial" w:hAnsi="Arial"/>
          <w:color w:val="111827"/>
          <w:sz w:val="22"/>
          <w:szCs w:val="22"/>
        </w:rPr>
        <w:t xml:space="preserve">Training organisations and professional bodies</w:t>
      </w:r>
    </w:p>
    <w:p>
      <w:pPr>
        <w:pStyle w:val="ListParagraph"/>
        <w:numPr>
          <w:ilvl w:val="0"/>
          <w:numId w:val="2"/>
        </w:numPr>
        <w:spacing w:after="40" w:before="40"/>
      </w:pPr>
      <w:r>
        <w:rPr>
          <w:rFonts w:ascii="Arial" w:cs="Arial" w:eastAsia="Arial" w:hAnsi="Arial"/>
          <w:color w:val="111827"/>
          <w:sz w:val="22"/>
          <w:szCs w:val="22"/>
        </w:rPr>
        <w:t xml:space="preserve">Individual educators and content creators</w:t>
      </w:r>
    </w:p>
    <w:p>
      <w:pPr>
        <w:pStyle w:val="ListParagraph"/>
        <w:numPr>
          <w:ilvl w:val="0"/>
          <w:numId w:val="2"/>
        </w:numPr>
        <w:spacing w:after="40" w:before="40"/>
      </w:pPr>
      <w:r>
        <w:rPr>
          <w:rFonts w:ascii="Arial" w:cs="Arial" w:eastAsia="Arial" w:hAnsi="Arial"/>
          <w:color w:val="111827"/>
          <w:sz w:val="22"/>
          <w:szCs w:val="22"/>
        </w:rPr>
        <w:t xml:space="preserve">Students at all levels</w:t>
      </w:r>
    </w:p>
    <w:p>
      <w:pPr>
        <w:pStyle w:val="ListParagraph"/>
        <w:numPr>
          <w:ilvl w:val="0"/>
          <w:numId w:val="2"/>
        </w:numPr>
        <w:spacing w:after="40" w:before="40"/>
      </w:pPr>
      <w:r>
        <w:rPr>
          <w:rFonts w:ascii="Arial" w:cs="Arial" w:eastAsia="Arial" w:hAnsi="Arial"/>
          <w:color w:val="111827"/>
          <w:sz w:val="22"/>
          <w:szCs w:val="22"/>
        </w:rPr>
        <w:t xml:space="preserve">HR teams managing employee development and compliance</w:t>
      </w:r>
    </w:p>
    <w:p>
      <w:pPr>
        <w:pStyle w:val="ListParagraph"/>
        <w:numPr>
          <w:ilvl w:val="0"/>
          <w:numId w:val="2"/>
        </w:numPr>
        <w:spacing w:after="40" w:before="40"/>
      </w:pPr>
      <w:r>
        <w:rPr>
          <w:rFonts w:ascii="Arial" w:cs="Arial" w:eastAsia="Arial" w:hAnsi="Arial"/>
          <w:color w:val="111827"/>
          <w:sz w:val="22"/>
          <w:szCs w:val="22"/>
        </w:rPr>
        <w:t xml:space="preserve">Influencers and independent knowledge creators selling to their own audiences</w:t>
      </w:r>
    </w:p>
    <w:p>
      <w:pPr>
        <w:spacing w:after="100" w:before="60"/>
      </w:pPr>
      <w:r>
        <w:rPr>
          <w:rFonts w:ascii="Arial" w:cs="Arial" w:eastAsia="Arial" w:hAnsi="Arial"/>
          <w:color w:val="111827"/>
          <w:sz w:val="22"/>
          <w:szCs w:val="22"/>
        </w:rPr>
        <w:t xml:space="preserve">The directive is clear: the engine is strong. The task now is to ensure the packaging, pricing, and delivery of that engine does not constrain what it can do or who it can reach.</w:t>
      </w:r>
    </w:p>
    <w:p>
      <w:pPr>
        <w:spacing w:after="80" w:before="80"/>
      </w:pPr>
      <w:r>
        <w:t xml:space="preserve"/>
      </w:r>
    </w:p>
    <w:p>
      <w:pPr>
        <w:pStyle w:val="Heading1"/>
        <w:spacing w:after="120" w:before="360"/>
      </w:pPr>
      <w:r>
        <w:rPr>
          <w:rFonts w:ascii="Arial" w:cs="Arial" w:eastAsia="Arial" w:hAnsi="Arial"/>
          <w:b/>
          <w:bCs/>
          <w:color w:val="0C1021"/>
          <w:sz w:val="32"/>
          <w:szCs w:val="32"/>
        </w:rPr>
        <w:t xml:space="preserve">3. Platform Use Cases</w:t>
      </w:r>
    </w:p>
    <w:p>
      <w:pPr>
        <w:spacing w:after="100" w:before="60"/>
      </w:pPr>
      <w:r>
        <w:rPr>
          <w:rFonts w:ascii="Arial" w:cs="Arial" w:eastAsia="Arial" w:hAnsi="Arial"/>
          <w:color w:val="111827"/>
          <w:sz w:val="22"/>
          <w:szCs w:val="22"/>
        </w:rPr>
        <w:t xml:space="preserve">The following is a full inventory of what Sphere can and should be used for. Items marked as built are live in the current build. Items marked as missing are confirmed development priorities from this session.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single" w:color="DDDDDD" w:sz="1"/>
              <w:left w:val="single" w:color="DDDDDD" w:sz="1"/>
              <w:bottom w:val="single" w:color="DDDDDD" w:sz="1"/>
              <w:right w:val="single" w:color="DDDDDD" w:sz="1"/>
            </w:tcBorders>
            <w:shd w:fill="0C1021" w:val="clear"/>
            <w:tcMar>
              <w:top w:type="dxa" w:w="100"/>
              <w:left w:type="dxa" w:w="160"/>
              <w:bottom w:type="dxa" w:w="100"/>
              <w:right w:type="dxa" w:w="120"/>
            </w:tcMar>
          </w:tcPr>
          <w:p>
            <w:r>
              <w:rPr>
                <w:rFonts w:ascii="Arial" w:cs="Arial" w:eastAsia="Arial" w:hAnsi="Arial"/>
                <w:b/>
                <w:bCs/>
                <w:color w:val="FFFFFF"/>
                <w:sz w:val="20"/>
                <w:szCs w:val="20"/>
              </w:rPr>
              <w:t xml:space="preserve">Use Case</w:t>
            </w:r>
          </w:p>
        </w:tc>
        <w:tc>
          <w:tcPr>
            <w:tcW w:type="dxa" w:w="3000"/>
            <w:tcBorders>
              <w:top w:val="single" w:color="DDDDDD" w:sz="1"/>
              <w:left w:val="single" w:color="DDDDDD" w:sz="1"/>
              <w:bottom w:val="single" w:color="DDDDDD" w:sz="1"/>
              <w:right w:val="single" w:color="DDDDDD" w:sz="1"/>
            </w:tcBorders>
            <w:shd w:fill="0C1021" w:val="clear"/>
            <w:tcMar>
              <w:top w:type="dxa" w:w="100"/>
              <w:left w:type="dxa" w:w="160"/>
              <w:bottom w:type="dxa" w:w="100"/>
              <w:right w:type="dxa" w:w="120"/>
            </w:tcMar>
          </w:tcPr>
          <w:p>
            <w:r>
              <w:rPr>
                <w:rFonts w:ascii="Arial" w:cs="Arial" w:eastAsia="Arial" w:hAnsi="Arial"/>
                <w:b/>
                <w:bCs/>
                <w:color w:val="FFFFFF"/>
                <w:sz w:val="20"/>
                <w:szCs w:val="20"/>
              </w:rPr>
              <w:t xml:space="preserve">Module</w:t>
            </w:r>
          </w:p>
        </w:tc>
        <w:tc>
          <w:tcPr>
            <w:tcW w:type="dxa" w:w="2760"/>
            <w:tcBorders>
              <w:top w:val="single" w:color="DDDDDD" w:sz="1"/>
              <w:left w:val="single" w:color="DDDDDD" w:sz="1"/>
              <w:bottom w:val="single" w:color="DDDDDD" w:sz="1"/>
              <w:right w:val="single" w:color="DDDDDD" w:sz="1"/>
            </w:tcBorders>
            <w:shd w:fill="0C1021" w:val="clear"/>
            <w:tcMar>
              <w:top w:type="dxa" w:w="100"/>
              <w:left w:type="dxa" w:w="160"/>
              <w:bottom w:type="dxa" w:w="100"/>
              <w:right w:type="dxa" w:w="120"/>
            </w:tcMar>
          </w:tcPr>
          <w:p>
            <w:r>
              <w:rPr>
                <w:rFonts w:ascii="Arial" w:cs="Arial" w:eastAsia="Arial" w:hAnsi="Arial"/>
                <w:b/>
                <w:bCs/>
                <w:color w:val="FFFFFF"/>
                <w:sz w:val="20"/>
                <w:szCs w:val="20"/>
              </w:rPr>
              <w:t xml:space="preserve">Status</w:t>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color w:val="111827"/>
                <w:sz w:val="20"/>
                <w:szCs w:val="20"/>
              </w:rPr>
              <w:t xml:space="preserve">Formal examinations and assessments</w:t>
            </w:r>
          </w:p>
        </w:tc>
        <w:tc>
          <w:tcPr>
            <w:tcW w:type="dxa" w:w="30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color w:val="6B6870"/>
                <w:sz w:val="20"/>
                <w:szCs w:val="20"/>
              </w:rPr>
              <w:t xml:space="preserve">Assess</w:t>
            </w:r>
          </w:p>
        </w:tc>
        <w:tc>
          <w:tcPr>
            <w:tcW w:type="dxa" w:w="27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1A8966"/>
                <w:sz w:val="20"/>
                <w:szCs w:val="20"/>
              </w:rPr>
              <w:t xml:space="preserve">Built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Quizzes and short tests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6B6870"/>
                <w:sz w:val="20"/>
                <w:szCs w:val="20"/>
              </w:rPr>
              <w:t xml:space="preserve">Assess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8966"/>
                <w:sz w:val="20"/>
                <w:szCs w:val="20"/>
              </w:rPr>
              <w:t xml:space="preserve">Built</w:t>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color w:val="111827"/>
                <w:sz w:val="20"/>
                <w:szCs w:val="20"/>
              </w:rPr>
              <w:t xml:space="preserve">Live engagement and game-based sessions</w:t>
            </w:r>
          </w:p>
        </w:tc>
        <w:tc>
          <w:tcPr>
            <w:tcW w:type="dxa" w:w="30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color w:val="6B6870"/>
                <w:sz w:val="20"/>
                <w:szCs w:val="20"/>
              </w:rPr>
              <w:t xml:space="preserve">Engage</w:t>
            </w:r>
          </w:p>
        </w:tc>
        <w:tc>
          <w:tcPr>
            <w:tcW w:type="dxa" w:w="27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1A8966"/>
                <w:sz w:val="20"/>
                <w:szCs w:val="20"/>
              </w:rPr>
              <w:t xml:space="preserve">Built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Structured course delivery (LMS)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6B6870"/>
                <w:sz w:val="20"/>
                <w:szCs w:val="20"/>
              </w:rPr>
              <w:t xml:space="preserve">Learn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1A8966"/>
                <w:sz w:val="20"/>
                <w:szCs w:val="20"/>
              </w:rPr>
              <w:t xml:space="preserve">Built</w:t>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color w:val="111827"/>
                <w:sz w:val="20"/>
                <w:szCs w:val="20"/>
              </w:rPr>
              <w:t xml:space="preserve">Corporate compliance and skills training paths</w:t>
            </w:r>
          </w:p>
        </w:tc>
        <w:tc>
          <w:tcPr>
            <w:tcW w:type="dxa" w:w="30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color w:val="6B6870"/>
                <w:sz w:val="20"/>
                <w:szCs w:val="20"/>
              </w:rPr>
              <w:t xml:space="preserve">Train</w:t>
            </w:r>
          </w:p>
        </w:tc>
        <w:tc>
          <w:tcPr>
            <w:tcW w:type="dxa" w:w="27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1A8966"/>
                <w:sz w:val="20"/>
                <w:szCs w:val="20"/>
              </w:rPr>
              <w:t xml:space="preserve">Built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Guides (rich-text educational guides)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6B6870"/>
                <w:sz w:val="20"/>
                <w:szCs w:val="20"/>
              </w:rPr>
              <w:t xml:space="preserve">Learn / Guides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C23B2A"/>
                <w:sz w:val="20"/>
                <w:szCs w:val="20"/>
              </w:rPr>
              <w:t xml:space="preserve">Missing — to build</w:t>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color w:val="111827"/>
                <w:sz w:val="20"/>
                <w:szCs w:val="20"/>
              </w:rPr>
              <w:t xml:space="preserve">Notes (rich-format notes with media)</w:t>
            </w:r>
          </w:p>
        </w:tc>
        <w:tc>
          <w:tcPr>
            <w:tcW w:type="dxa" w:w="30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color w:val="6B6870"/>
                <w:sz w:val="20"/>
                <w:szCs w:val="20"/>
              </w:rPr>
              <w:t xml:space="preserve">Learn / Notes</w:t>
            </w:r>
          </w:p>
        </w:tc>
        <w:tc>
          <w:tcPr>
            <w:tcW w:type="dxa" w:w="27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C23B2A"/>
                <w:sz w:val="20"/>
                <w:szCs w:val="20"/>
              </w:rPr>
              <w:t xml:space="preserve">Missing — to build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Document sharing and distribution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6B6870"/>
                <w:sz w:val="20"/>
                <w:szCs w:val="20"/>
              </w:rPr>
              <w:t xml:space="preserve">Documents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C23B2A"/>
                <w:sz w:val="20"/>
                <w:szCs w:val="20"/>
              </w:rPr>
              <w:t xml:space="preserve">Missing — to build</w:t>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color w:val="111827"/>
                <w:sz w:val="20"/>
                <w:szCs w:val="20"/>
              </w:rPr>
              <w:t xml:space="preserve">Corporate knowledge base</w:t>
            </w:r>
          </w:p>
        </w:tc>
        <w:tc>
          <w:tcPr>
            <w:tcW w:type="dxa" w:w="30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color w:val="6B6870"/>
                <w:sz w:val="20"/>
                <w:szCs w:val="20"/>
              </w:rPr>
              <w:t xml:space="preserve">Train / Documents</w:t>
            </w:r>
          </w:p>
        </w:tc>
        <w:tc>
          <w:tcPr>
            <w:tcW w:type="dxa" w:w="27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C23B2A"/>
                <w:sz w:val="20"/>
                <w:szCs w:val="20"/>
              </w:rPr>
              <w:t xml:space="preserve">Missing — to build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Offline learning resources (exportable format)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color w:val="6B6870"/>
                <w:sz w:val="20"/>
                <w:szCs w:val="20"/>
              </w:rPr>
              <w:t xml:space="preserve">Notes / Guides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C23B2A"/>
                <w:sz w:val="20"/>
                <w:szCs w:val="20"/>
              </w:rPr>
              <w:t xml:space="preserve">Missing — to build</w:t>
            </w:r>
          </w:p>
        </w:tc>
      </w:tr>
    </w:tbl>
    <w:p>
      <w:pPr>
        <w:spacing w:after="80" w:before="80"/>
      </w:pPr>
      <w:r>
        <w:t xml:space="preserve"/>
      </w:r>
    </w:p>
    <w:p>
      <w:pPr>
        <w:pStyle w:val="Heading1"/>
        <w:spacing w:after="120" w:before="360"/>
      </w:pPr>
      <w:r>
        <w:rPr>
          <w:rFonts w:ascii="Arial" w:cs="Arial" w:eastAsia="Arial" w:hAnsi="Arial"/>
          <w:b/>
          <w:bCs/>
          <w:color w:val="0C1021"/>
          <w:sz w:val="32"/>
          <w:szCs w:val="32"/>
        </w:rPr>
        <w:t xml:space="preserve">4. Missing Modules to Build: Guides, Notes, and Documents</w:t>
      </w:r>
    </w:p>
    <w:p>
      <w:pPr>
        <w:spacing w:after="100" w:before="60"/>
      </w:pPr>
      <w:r>
        <w:rPr>
          <w:rFonts w:ascii="Arial" w:cs="Arial" w:eastAsia="Arial" w:hAnsi="Arial"/>
          <w:color w:val="111827"/>
          <w:sz w:val="22"/>
          <w:szCs w:val="22"/>
        </w:rPr>
        <w:t xml:space="preserve">Three content module types are confirmed as missing from the current build and must be developed. They are distinct from each other but share the same distribution and discovery layer as existing modules.</w:t>
      </w:r>
    </w:p>
    <w:p>
      <w:pPr>
        <w:spacing w:after="80" w:before="80"/>
      </w:pPr>
      <w:r>
        <w:t xml:space="preserve"/>
      </w:r>
    </w:p>
    <w:p>
      <w:pPr>
        <w:pStyle w:val="Heading3"/>
        <w:spacing w:after="60" w:before="200"/>
      </w:pPr>
      <w:r>
        <w:rPr>
          <w:rFonts w:ascii="Arial" w:cs="Arial" w:eastAsia="Arial" w:hAnsi="Arial"/>
          <w:b/>
          <w:bCs/>
          <w:color w:val="1A8966"/>
          <w:sz w:val="22"/>
          <w:szCs w:val="22"/>
        </w:rPr>
        <w:t xml:space="preserve">4.1 Guides</w:t>
      </w:r>
    </w:p>
    <w:p>
      <w:pPr>
        <w:spacing w:after="100" w:before="60"/>
      </w:pPr>
      <w:r>
        <w:rPr>
          <w:rFonts w:ascii="Arial" w:cs="Arial" w:eastAsia="Arial" w:hAnsi="Arial"/>
          <w:color w:val="111827"/>
          <w:sz w:val="22"/>
          <w:szCs w:val="22"/>
        </w:rPr>
        <w:t xml:space="preserve">Guides are rich educational documents with structure. They sit between a course and a standalone note. They should support formatted text, embedded images, hyperlinks, and video links (embedded or referenced). Guides are designed to be shared and consumed as standalone learning resources, not as part of a timed session.</w:t>
      </w:r>
    </w:p>
    <w:p>
      <w:pPr>
        <w:spacing w:after="80" w:before="80"/>
      </w:pPr>
      <w:r>
        <w:t xml:space="preserve"/>
      </w:r>
    </w:p>
    <w:p>
      <w:pPr>
        <w:pStyle w:val="Heading3"/>
        <w:spacing w:after="60" w:before="200"/>
      </w:pPr>
      <w:r>
        <w:rPr>
          <w:rFonts w:ascii="Arial" w:cs="Arial" w:eastAsia="Arial" w:hAnsi="Arial"/>
          <w:b/>
          <w:bCs/>
          <w:color w:val="1A8966"/>
          <w:sz w:val="22"/>
          <w:szCs w:val="22"/>
        </w:rPr>
        <w:t xml:space="preserve">4.2 Notes</w:t>
      </w:r>
    </w:p>
    <w:p>
      <w:pPr>
        <w:spacing w:after="100" w:before="60"/>
      </w:pPr>
      <w:r>
        <w:rPr>
          <w:rFonts w:ascii="Arial" w:cs="Arial" w:eastAsia="Arial" w:hAnsi="Arial"/>
          <w:color w:val="111827"/>
          <w:sz w:val="22"/>
          <w:szCs w:val="22"/>
        </w:rPr>
        <w:t xml:space="preserve">Notes follow a familiar personal note-taking format but with rich media support. A creator or educator should be able to build a note that includes body text, images, external links, video links, and section headers. The key distinction Collins specified is that notes must support an offline version, meaning a user should be able to export or access the note in a format that works without an active connection. This positions notes as downloadable, portable learning companions, not just web content.</w:t>
      </w:r>
    </w:p>
    <w:p>
      <w:pPr>
        <w:spacing w:after="100" w:before="60"/>
      </w:pPr>
      <w:r>
        <w:rPr>
          <w:rFonts w:ascii="Arial" w:cs="Arial" w:eastAsia="Arial" w:hAnsi="Arial"/>
          <w:color w:val="111827"/>
          <w:sz w:val="22"/>
          <w:szCs w:val="22"/>
        </w:rPr>
        <w:t xml:space="preserve">Supported content types within Notes:</w:t>
      </w:r>
    </w:p>
    <w:p>
      <w:pPr>
        <w:pStyle w:val="ListParagraph"/>
        <w:numPr>
          <w:ilvl w:val="0"/>
          <w:numId w:val="2"/>
        </w:numPr>
        <w:spacing w:after="40" w:before="40"/>
      </w:pPr>
      <w:r>
        <w:rPr>
          <w:rFonts w:ascii="Arial" w:cs="Arial" w:eastAsia="Arial" w:hAnsi="Arial"/>
          <w:color w:val="111827"/>
          <w:sz w:val="22"/>
          <w:szCs w:val="22"/>
        </w:rPr>
        <w:t xml:space="preserve">Rich text (headings, body, emphasis)</w:t>
      </w:r>
    </w:p>
    <w:p>
      <w:pPr>
        <w:pStyle w:val="ListParagraph"/>
        <w:numPr>
          <w:ilvl w:val="0"/>
          <w:numId w:val="2"/>
        </w:numPr>
        <w:spacing w:after="40" w:before="40"/>
      </w:pPr>
      <w:r>
        <w:rPr>
          <w:rFonts w:ascii="Arial" w:cs="Arial" w:eastAsia="Arial" w:hAnsi="Arial"/>
          <w:color w:val="111827"/>
          <w:sz w:val="22"/>
          <w:szCs w:val="22"/>
        </w:rPr>
        <w:t xml:space="preserve">Embedded images</w:t>
      </w:r>
    </w:p>
    <w:p>
      <w:pPr>
        <w:pStyle w:val="ListParagraph"/>
        <w:numPr>
          <w:ilvl w:val="0"/>
          <w:numId w:val="2"/>
        </w:numPr>
        <w:spacing w:after="40" w:before="40"/>
      </w:pPr>
      <w:r>
        <w:rPr>
          <w:rFonts w:ascii="Arial" w:cs="Arial" w:eastAsia="Arial" w:hAnsi="Arial"/>
          <w:color w:val="111827"/>
          <w:sz w:val="22"/>
          <w:szCs w:val="22"/>
        </w:rPr>
        <w:t xml:space="preserve">Hyperlinks to external resources</w:t>
      </w:r>
    </w:p>
    <w:p>
      <w:pPr>
        <w:pStyle w:val="ListParagraph"/>
        <w:numPr>
          <w:ilvl w:val="0"/>
          <w:numId w:val="2"/>
        </w:numPr>
        <w:spacing w:after="40" w:before="40"/>
      </w:pPr>
      <w:r>
        <w:rPr>
          <w:rFonts w:ascii="Arial" w:cs="Arial" w:eastAsia="Arial" w:hAnsi="Arial"/>
          <w:color w:val="111827"/>
          <w:sz w:val="22"/>
          <w:szCs w:val="22"/>
        </w:rPr>
        <w:t xml:space="preserve">Video links (YouTube, Vimeo, or direct)</w:t>
      </w:r>
    </w:p>
    <w:p>
      <w:pPr>
        <w:pStyle w:val="ListParagraph"/>
        <w:numPr>
          <w:ilvl w:val="0"/>
          <w:numId w:val="2"/>
        </w:numPr>
        <w:spacing w:after="40" w:before="40"/>
      </w:pPr>
      <w:r>
        <w:rPr>
          <w:rFonts w:ascii="Arial" w:cs="Arial" w:eastAsia="Arial" w:hAnsi="Arial"/>
          <w:color w:val="111827"/>
          <w:sz w:val="22"/>
          <w:szCs w:val="22"/>
        </w:rPr>
        <w:t xml:space="preserve">Exportable offline format (PDF or equivalent)</w:t>
      </w:r>
    </w:p>
    <w:p>
      <w:pPr>
        <w:spacing w:after="80" w:before="80"/>
      </w:pPr>
      <w:r>
        <w:t xml:space="preserve"/>
      </w:r>
    </w:p>
    <w:p>
      <w:pPr>
        <w:pStyle w:val="Heading3"/>
        <w:spacing w:after="60" w:before="200"/>
      </w:pPr>
      <w:r>
        <w:rPr>
          <w:rFonts w:ascii="Arial" w:cs="Arial" w:eastAsia="Arial" w:hAnsi="Arial"/>
          <w:b/>
          <w:bCs/>
          <w:color w:val="1A8966"/>
          <w:sz w:val="22"/>
          <w:szCs w:val="22"/>
        </w:rPr>
        <w:t xml:space="preserve">4.3 Documents</w:t>
      </w:r>
    </w:p>
    <w:p>
      <w:pPr>
        <w:spacing w:after="100" w:before="60"/>
      </w:pPr>
      <w:r>
        <w:rPr>
          <w:rFonts w:ascii="Arial" w:cs="Arial" w:eastAsia="Arial" w:hAnsi="Arial"/>
          <w:color w:val="111827"/>
          <w:sz w:val="22"/>
          <w:szCs w:val="22"/>
        </w:rPr>
        <w:t xml:space="preserve">Documents serve the document-sharing and knowledge-base use case, particularly for corporate institutions. An organisation should be able to upload, organise, and distribute internal documents through Sphere. For corporate clients using the Train module, documents become the knowledge base layer that supports structured training.</w:t>
      </w:r>
    </w:p>
    <w:p>
      <w:pPr>
        <w:spacing w:after="80" w:before="80"/>
      </w:pPr>
      <w:r>
        <w:t xml:space="preserve"/>
      </w:r>
    </w:p>
    <w:p>
      <w:pPr>
        <w:pageBreakBefore/>
      </w:pPr>
      <w:r>
        <w:t xml:space="preserve"/>
      </w:r>
    </w:p>
    <w:p>
      <w:pPr>
        <w:pStyle w:val="Heading1"/>
        <w:spacing w:after="120" w:before="360"/>
      </w:pPr>
      <w:r>
        <w:rPr>
          <w:rFonts w:ascii="Arial" w:cs="Arial" w:eastAsia="Arial" w:hAnsi="Arial"/>
          <w:b/>
          <w:bCs/>
          <w:color w:val="0C1021"/>
          <w:sz w:val="32"/>
          <w:szCs w:val="32"/>
        </w:rPr>
        <w:t xml:space="preserve">5. Subscription Architecture</w:t>
      </w:r>
    </w:p>
    <w:p>
      <w:pPr>
        <w:spacing w:after="100" w:before="60"/>
      </w:pPr>
      <w:r>
        <w:rPr>
          <w:rFonts w:ascii="Arial" w:cs="Arial" w:eastAsia="Arial" w:hAnsi="Arial"/>
          <w:color w:val="111827"/>
          <w:sz w:val="22"/>
          <w:szCs w:val="22"/>
        </w:rPr>
        <w:t xml:space="preserve">SphereSDS operates on a three-tier subscription model: Membership, Creator, and Institution. Each tier is designed to deliver clear value at its level while creating natural upgrade pressure to the next. The tiers are not arbitrary price points. They represent distinct user profiles and distinct platform capabilities unlocked at each level.</w:t>
      </w:r>
    </w:p>
    <w:p>
      <w:pPr>
        <w:spacing w:after="80" w:before="80"/>
      </w:pPr>
      <w:r>
        <w:t xml:space="preserve"/>
      </w:r>
    </w:p>
    <w:p>
      <w:pPr>
        <w:pStyle w:val="Heading2"/>
        <w:spacing w:after="80" w:before="280"/>
      </w:pPr>
      <w:r>
        <w:rPr>
          <w:rFonts w:ascii="Arial" w:cs="Arial" w:eastAsia="Arial" w:hAnsi="Arial"/>
          <w:b/>
          <w:bCs/>
          <w:color w:val="2E2886"/>
          <w:sz w:val="26"/>
          <w:szCs w:val="26"/>
        </w:rPr>
        <w:t xml:space="preserve">5a. Membership (Free)</w:t>
      </w:r>
    </w:p>
    <w:p>
      <w:pPr>
        <w:spacing w:after="100" w:before="60"/>
      </w:pPr>
      <w:r>
        <w:rPr>
          <w:rFonts w:ascii="Arial" w:cs="Arial" w:eastAsia="Arial" w:hAnsi="Arial"/>
          <w:color w:val="111827"/>
          <w:sz w:val="22"/>
          <w:szCs w:val="22"/>
        </w:rPr>
        <w:t xml:space="preserve">Membership is the entry tier. It requires no payment and is available to anyone who signs up. Its primary purpose is platform discovery: it gives users enough of Sphere to understand what it can do and to create a genuine reason to upgrade.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Modules accessible</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Assess and Engage only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Assess creations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5 (lifetime or per period — to be confirmed)</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Engage creations</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5 (lifetime or per period — to be confirmed)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Learn creations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Not available on Membership</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Train creations</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Not available on Membership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Max students per session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Up to 5 students per Assess or Engage session</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Marketplace access</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No — cannot list or sell resources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Certificates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No</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AI add-ons</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Purchasable separately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Purpose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Platform discovery and trial. Natural entry point for the upsell funnel.</w:t>
            </w:r>
          </w:p>
        </w:tc>
      </w:tr>
    </w:tbl>
    <w:p>
      <w:pPr>
        <w:spacing w:after="80" w:before="80"/>
      </w:pPr>
      <w:r>
        <w:t xml:space="preserve"/>
      </w:r>
    </w:p>
    <w:p>
      <w:pPr>
        <w:pStyle w:val="Heading2"/>
        <w:spacing w:after="80" w:before="280"/>
      </w:pPr>
      <w:r>
        <w:rPr>
          <w:rFonts w:ascii="Arial" w:cs="Arial" w:eastAsia="Arial" w:hAnsi="Arial"/>
          <w:b/>
          <w:bCs/>
          <w:color w:val="2E2886"/>
          <w:sz w:val="26"/>
          <w:szCs w:val="26"/>
        </w:rPr>
        <w:t xml:space="preserve">5b. Creator — Quarterly Route (GHS 300 per quarter)</w:t>
      </w:r>
    </w:p>
    <w:p>
      <w:pPr>
        <w:spacing w:after="100" w:before="60"/>
      </w:pPr>
      <w:r>
        <w:rPr>
          <w:rFonts w:ascii="Arial" w:cs="Arial" w:eastAsia="Arial" w:hAnsi="Arial"/>
          <w:color w:val="111827"/>
          <w:sz w:val="22"/>
          <w:szCs w:val="22"/>
        </w:rPr>
        <w:t xml:space="preserve">The Creator Quarterly subscription is the primary paid tier for individual educators and content creators who want full platform access and production volume. It is paid quarterly at GHS 300 and provides access to all four modules with a total creation pool of 40 that the user can redistribute as they choose.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Price</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GHS 300 per quarter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Modules accessible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Assess, Engage, Learn, and Train</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Total creation pool</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40 creations per quarter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Default allocation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10 creations per module (Assess, Engage, Learn, Train)</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Pool customisation</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User can redistribute freely. Example: move 20 to Assess, 10 to Engage, 10 to Learn, 0 to Train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Max students per session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Up to 50 students per module session</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Marketplace access</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Can sell resources on marketplace (15% commission to SphereSDS)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Certificates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Available (toggleable)</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AI add-ons</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Purchasable separately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Personalised link</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Creator receives a personalised shareable link for their marketplace profile</w:t>
            </w:r>
          </w:p>
        </w:tc>
      </w:tr>
    </w:tbl>
    <w:p>
      <w:pPr>
        <w:spacing w:after="100" w:before="60"/>
      </w:pPr>
      <w:r>
        <w:rPr>
          <w:rFonts w:ascii="Arial" w:cs="Arial" w:eastAsia="Arial" w:hAnsi="Arial"/>
          <w:color w:val="111827"/>
          <w:sz w:val="22"/>
          <w:szCs w:val="22"/>
        </w:rPr>
        <w:t xml:space="preserve">The pool redistribution is a key differentiator. An individual who primarily runs live engagement sessions should not be penalised for having unused Train credits. They control the allocation each quarter to match how they actually work.</w:t>
      </w:r>
    </w:p>
    <w:p>
      <w:pPr>
        <w:spacing w:after="80" w:before="80"/>
      </w:pPr>
      <w:r>
        <w:t xml:space="preserve"/>
      </w:r>
    </w:p>
    <w:p>
      <w:pPr>
        <w:pStyle w:val="Heading2"/>
        <w:spacing w:after="80" w:before="280"/>
      </w:pPr>
      <w:r>
        <w:rPr>
          <w:rFonts w:ascii="Arial" w:cs="Arial" w:eastAsia="Arial" w:hAnsi="Arial"/>
          <w:b/>
          <w:bCs/>
          <w:color w:val="2E2886"/>
          <w:sz w:val="26"/>
          <w:szCs w:val="26"/>
        </w:rPr>
        <w:t xml:space="preserve">5c. Creator — Marketplace Route (Commission only)</w:t>
      </w:r>
    </w:p>
    <w:p>
      <w:pPr>
        <w:spacing w:after="100" w:before="60"/>
      </w:pPr>
      <w:r>
        <w:rPr>
          <w:rFonts w:ascii="Arial" w:cs="Arial" w:eastAsia="Arial" w:hAnsi="Arial"/>
          <w:color w:val="111827"/>
          <w:sz w:val="22"/>
          <w:szCs w:val="22"/>
        </w:rPr>
        <w:t xml:space="preserve">The Marketplace Creator route is an alternative to the quarterly fee for creators who are not ready to commit to GHS 300 per quarter but want access to the creation and selling tools. It is commission-only: SphereSDS takes a percentage of every sale, and the creator pays nothing upfront.</w:t>
      </w:r>
    </w:p>
    <w:p>
      <w:pPr>
        <w:spacing w:after="100" w:before="60"/>
      </w:pPr>
      <w:r>
        <w:rPr>
          <w:rFonts w:ascii="Arial" w:cs="Arial" w:eastAsia="Arial" w:hAnsi="Arial"/>
          <w:color w:val="111827"/>
          <w:sz w:val="22"/>
          <w:szCs w:val="22"/>
        </w:rPr>
        <w:t xml:space="preserve">However, to prevent dormant accounts that provide no revenue while consuming platform resources, this route comes with a minimum activity requirement.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Price</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No upfront fee — commission on sales only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Modules accessible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All four modules (for marketplace resource creation)</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Creation limit</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Unlimited creations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Minimum activity requirement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At least 10 creations within a rolling 30-day period</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Consequence of inactivity</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Creator account is suspended if minimum is not met. User reverts to Membership tier.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Free resource requirement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1 free resource must be published as a discovery/taster item for buyers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Marketplace access</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Unlimited buyers, unlimited sales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Commission rate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SphereSDS takes a commission on every sale (exact rate to be confirmed)</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Max students per resource</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Unlimited (marketplace buyers, no per-session cap)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Certificates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Available (toggleable)</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Personalised link</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Creator receives a personalised shareable profile link</w:t>
            </w:r>
          </w:p>
        </w:tc>
      </w:tr>
    </w:tbl>
    <w:p>
      <w:pPr>
        <w:spacing w:after="100" w:before="60"/>
      </w:pPr>
      <w:r>
        <w:rPr>
          <w:rFonts w:ascii="Arial" w:cs="Arial" w:eastAsia="Arial" w:hAnsi="Arial"/>
          <w:color w:val="111827"/>
          <w:sz w:val="22"/>
          <w:szCs w:val="22"/>
        </w:rPr>
        <w:t xml:space="preserve">Rationale: A Marketplace Creator who is not creating is a liability. SphereSDS makes revenue only on sales, so a creator with zero listings provides zero return. The 10-creation minimum in 30 days ensures the marketplace stays active and SphereSDS's investment in providing unlimited creation tools is justified.</w:t>
      </w:r>
    </w:p>
    <w:p>
      <w:pPr>
        <w:spacing w:after="80" w:before="80"/>
      </w:pPr>
      <w:r>
        <w:t xml:space="preserve"/>
      </w:r>
    </w:p>
    <w:p>
      <w:pPr>
        <w:pStyle w:val="Heading2"/>
        <w:spacing w:after="80" w:before="280"/>
      </w:pPr>
      <w:r>
        <w:rPr>
          <w:rFonts w:ascii="Arial" w:cs="Arial" w:eastAsia="Arial" w:hAnsi="Arial"/>
          <w:b/>
          <w:bCs/>
          <w:color w:val="2E2886"/>
          <w:sz w:val="26"/>
          <w:szCs w:val="26"/>
        </w:rPr>
        <w:t xml:space="preserve">5d. Institution</w:t>
      </w:r>
    </w:p>
    <w:p>
      <w:pPr>
        <w:spacing w:after="100" w:before="60"/>
      </w:pPr>
      <w:r>
        <w:rPr>
          <w:rFonts w:ascii="Arial" w:cs="Arial" w:eastAsia="Arial" w:hAnsi="Arial"/>
          <w:color w:val="111827"/>
          <w:sz w:val="22"/>
          <w:szCs w:val="22"/>
        </w:rPr>
        <w:t xml:space="preserve">Institution is the largest and most powerful tier, designed for schools, universities, corporate training departments, and professional bodies. It provides unlimited creations and full platform access. Student capacity and per-head pricing above a base threshold are the commercial levers at this tier.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Modules accessible</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All four modules (Assess, Engage, Learn, Train)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Creation limit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Unlimited</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Base student cap per session</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Up to 100 students per session (included in base price)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Beyond 100 students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Per-head pricing applies for additional students above the 100 cap</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Certificates</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Available, with custom template upload (institution can brand their own)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Marketplace access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Can list resources if applicable</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AI add-ons</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Purchasable separately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6B6870"/>
                <w:sz w:val="20"/>
                <w:szCs w:val="20"/>
              </w:rPr>
              <w:t xml:space="preserve">Institution levels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Full level and academic calendar customisation by institution type (see Section 6)</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20"/>
            </w:tcMar>
          </w:tcPr>
          <w:p>
            <w:r>
              <w:rPr>
                <w:rFonts w:ascii="Arial" w:cs="Arial" w:eastAsia="Arial" w:hAnsi="Arial"/>
                <w:b/>
                <w:bCs/>
                <w:color w:val="6B6870"/>
                <w:sz w:val="20"/>
                <w:szCs w:val="20"/>
              </w:rPr>
              <w:t xml:space="preserve">Personalised link</w:t>
            </w:r>
          </w:p>
        </w:tc>
        <w:tc>
          <w:tcPr>
            <w:tcW w:type="dxa" w:w="6960"/>
            <w:tcBorders>
              <w:top w:val="single" w:color="DDDDDD" w:sz="1"/>
              <w:left w:val="single" w:color="DDDDDD" w:sz="1"/>
              <w:bottom w:val="single" w:color="DDDDDD" w:sz="1"/>
              <w:right w:val="single" w:color="DDDDDD"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Institution receives a branded profile link</w:t>
            </w:r>
          </w:p>
        </w:tc>
      </w:tr>
    </w:tbl>
    <w:p>
      <w:pPr>
        <w:spacing w:after="100" w:before="60"/>
      </w:pPr>
      <w:r>
        <w:rPr>
          <w:rFonts w:ascii="Arial" w:cs="Arial" w:eastAsia="Arial" w:hAnsi="Arial"/>
          <w:color w:val="111827"/>
          <w:sz w:val="22"/>
          <w:szCs w:val="22"/>
        </w:rPr>
        <w:t xml:space="preserve">The per-head pricing above 100 students is designed so that large institutions (with 500 or 1,000+ learners) are not given unlimited scale for a flat fee. Growth in learner volume generates proportional revenue for SphereSDS without making the base price prohibitive for mid-size institutions.</w:t>
      </w:r>
    </w:p>
    <w:p>
      <w:pPr>
        <w:spacing w:after="80" w:before="80"/>
      </w:pPr>
      <w:r>
        <w:t xml:space="preserve"/>
      </w:r>
    </w:p>
    <w:p>
      <w:pPr>
        <w:pageBreakBefore/>
      </w:pPr>
      <w:r>
        <w:t xml:space="preserve"/>
      </w:r>
    </w:p>
    <w:p>
      <w:pPr>
        <w:pStyle w:val="Heading1"/>
        <w:spacing w:after="120" w:before="360"/>
      </w:pPr>
      <w:r>
        <w:rPr>
          <w:rFonts w:ascii="Arial" w:cs="Arial" w:eastAsia="Arial" w:hAnsi="Arial"/>
          <w:b/>
          <w:bCs/>
          <w:color w:val="0C1021"/>
          <w:sz w:val="32"/>
          <w:szCs w:val="32"/>
        </w:rPr>
        <w:t xml:space="preserve">6. Institution Levels System</w:t>
      </w:r>
    </w:p>
    <w:p>
      <w:pPr>
        <w:spacing w:after="100" w:before="60"/>
      </w:pPr>
      <w:r>
        <w:rPr>
          <w:rFonts w:ascii="Arial" w:cs="Arial" w:eastAsia="Arial" w:hAnsi="Arial"/>
          <w:color w:val="111827"/>
          <w:sz w:val="22"/>
          <w:szCs w:val="22"/>
        </w:rPr>
        <w:t xml:space="preserve">The current implementation pre-populates levels for all institutions regardless of type. Collins identified this as a friction point and a scaling problem. An institution onboarding onto Sphere should not have to manually configure levels that Sphere already knows about.</w:t>
      </w:r>
    </w:p>
    <w:p>
      <w:pPr>
        <w:spacing w:after="100" w:before="60"/>
      </w:pPr>
      <w:r>
        <w:rPr>
          <w:rFonts w:ascii="Arial" w:cs="Arial" w:eastAsia="Arial" w:hAnsi="Arial"/>
          <w:color w:val="111827"/>
          <w:sz w:val="22"/>
          <w:szCs w:val="22"/>
        </w:rPr>
        <w:t xml:space="preserve">The correct approach is type-driven level injection. When an institution selects their institution type during onboarding, the system should automatically populate the correct levels, the correct period language (terms, semesters, quarters, intakes), and the correct academic calendar structure for that type.</w:t>
      </w:r>
    </w:p>
    <w:p>
      <w:pPr>
        <w:spacing w:after="100" w:before="60"/>
      </w:pPr>
      <w:r>
        <w:rPr>
          <w:rFonts w:ascii="Arial" w:cs="Arial" w:eastAsia="Arial" w:hAnsi="Arial"/>
          <w:color w:val="111827"/>
          <w:sz w:val="22"/>
          <w:szCs w:val="22"/>
        </w:rPr>
        <w:t xml:space="preserve">This removes onboarding friction, speeds up activation, and ensures the language the institution sees inside Sphere matches the language they actually use in their organisation.</w:t>
      </w:r>
    </w:p>
    <w:p>
      <w:pPr>
        <w:spacing w:after="80" w:before="80"/>
      </w:pPr>
      <w:r>
        <w:t xml:space="preserve"/>
      </w:r>
    </w:p>
    <w:p>
      <w:pPr>
        <w:spacing w:after="100" w:before="60"/>
      </w:pPr>
      <w:r>
        <w:rPr>
          <w:rFonts w:ascii="Arial" w:cs="Arial" w:eastAsia="Arial" w:hAnsi="Arial"/>
          <w:color w:val="111827"/>
          <w:sz w:val="22"/>
          <w:szCs w:val="22"/>
        </w:rPr>
        <w:t xml:space="preserve">The confirmed institution types and their auto-populated structures 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tcBorders>
              <w:top w:val="single" w:color="DDDDDD" w:sz="1"/>
              <w:left w:val="single" w:color="DDDDDD" w:sz="1"/>
              <w:bottom w:val="single" w:color="DDDDDD" w:sz="1"/>
              <w:right w:val="single" w:color="DDDDDD" w:sz="1"/>
            </w:tcBorders>
            <w:shd w:fill="0C1021" w:val="clear"/>
            <w:tcMar>
              <w:top w:type="dxa" w:w="80"/>
              <w:left w:type="dxa" w:w="140"/>
              <w:bottom w:type="dxa" w:w="80"/>
              <w:right w:type="dxa" w:w="120"/>
            </w:tcMar>
          </w:tcPr>
          <w:p>
            <w:r>
              <w:rPr>
                <w:rFonts w:ascii="Arial" w:cs="Arial" w:eastAsia="Arial" w:hAnsi="Arial"/>
                <w:b/>
                <w:bCs/>
                <w:color w:val="FFFFFF"/>
                <w:sz w:val="18"/>
                <w:szCs w:val="18"/>
              </w:rPr>
              <w:t xml:space="preserve">Institution Type</w:t>
            </w:r>
          </w:p>
        </w:tc>
        <w:tc>
          <w:tcPr>
            <w:tcW w:type="dxa" w:w="2000"/>
            <w:tcBorders>
              <w:top w:val="single" w:color="DDDDDD" w:sz="1"/>
              <w:left w:val="single" w:color="DDDDDD" w:sz="1"/>
              <w:bottom w:val="single" w:color="DDDDDD" w:sz="1"/>
              <w:right w:val="single" w:color="DDDDDD" w:sz="1"/>
            </w:tcBorders>
            <w:shd w:fill="0C1021" w:val="clear"/>
            <w:tcMar>
              <w:top w:type="dxa" w:w="80"/>
              <w:left w:type="dxa" w:w="140"/>
              <w:bottom w:type="dxa" w:w="80"/>
              <w:right w:type="dxa" w:w="120"/>
            </w:tcMar>
          </w:tcPr>
          <w:p>
            <w:r>
              <w:rPr>
                <w:rFonts w:ascii="Arial" w:cs="Arial" w:eastAsia="Arial" w:hAnsi="Arial"/>
                <w:b/>
                <w:bCs/>
                <w:color w:val="FFFFFF"/>
                <w:sz w:val="18"/>
                <w:szCs w:val="18"/>
              </w:rPr>
              <w:t xml:space="preserve">Levels</w:t>
            </w:r>
          </w:p>
        </w:tc>
        <w:tc>
          <w:tcPr>
            <w:tcW w:type="dxa" w:w="1800"/>
            <w:tcBorders>
              <w:top w:val="single" w:color="DDDDDD" w:sz="1"/>
              <w:left w:val="single" w:color="DDDDDD" w:sz="1"/>
              <w:bottom w:val="single" w:color="DDDDDD" w:sz="1"/>
              <w:right w:val="single" w:color="DDDDDD" w:sz="1"/>
            </w:tcBorders>
            <w:shd w:fill="0C1021" w:val="clear"/>
            <w:tcMar>
              <w:top w:type="dxa" w:w="80"/>
              <w:left w:type="dxa" w:w="140"/>
              <w:bottom w:type="dxa" w:w="80"/>
              <w:right w:type="dxa" w:w="120"/>
            </w:tcMar>
          </w:tcPr>
          <w:p>
            <w:r>
              <w:rPr>
                <w:rFonts w:ascii="Arial" w:cs="Arial" w:eastAsia="Arial" w:hAnsi="Arial"/>
                <w:b/>
                <w:bCs/>
                <w:color w:val="FFFFFF"/>
                <w:sz w:val="18"/>
                <w:szCs w:val="18"/>
              </w:rPr>
              <w:t xml:space="preserve">Period Language</w:t>
            </w:r>
          </w:p>
        </w:tc>
        <w:tc>
          <w:tcPr>
            <w:tcW w:type="dxa" w:w="3360"/>
            <w:tcBorders>
              <w:top w:val="single" w:color="DDDDDD" w:sz="1"/>
              <w:left w:val="single" w:color="DDDDDD" w:sz="1"/>
              <w:bottom w:val="single" w:color="DDDDDD" w:sz="1"/>
              <w:right w:val="single" w:color="DDDDDD" w:sz="1"/>
            </w:tcBorders>
            <w:shd w:fill="0C1021" w:val="clear"/>
            <w:tcMar>
              <w:top w:type="dxa" w:w="80"/>
              <w:left w:type="dxa" w:w="140"/>
              <w:bottom w:type="dxa" w:w="80"/>
              <w:right w:type="dxa" w:w="120"/>
            </w:tcMar>
          </w:tcPr>
          <w:p>
            <w:r>
              <w:rPr>
                <w:rFonts w:ascii="Arial" w:cs="Arial" w:eastAsia="Arial" w:hAnsi="Arial"/>
                <w:b/>
                <w:bCs/>
                <w:color w:val="FFFFFF"/>
                <w:sz w:val="18"/>
                <w:szCs w:val="18"/>
              </w:rPr>
              <w:t xml:space="preserve">Academic Calendar Notes</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b/>
                <w:bCs/>
                <w:color w:val="111827"/>
                <w:sz w:val="18"/>
                <w:szCs w:val="18"/>
              </w:rPr>
              <w:t xml:space="preserve">Junior High School (JHS)</w:t>
            </w:r>
          </w:p>
        </w:tc>
        <w:tc>
          <w:tcPr>
            <w:tcW w:type="dxa" w:w="2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color w:val="6B6870"/>
                <w:sz w:val="18"/>
                <w:szCs w:val="18"/>
              </w:rPr>
              <w:t xml:space="preserve">JHS 1, JHS 2, JHS 3</w:t>
            </w:r>
          </w:p>
        </w:tc>
        <w:tc>
          <w:tcPr>
            <w:tcW w:type="dxa" w:w="18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color w:val="D97010"/>
                <w:sz w:val="18"/>
                <w:szCs w:val="18"/>
              </w:rPr>
              <w:t xml:space="preserve">Terms (3 per year)</w:t>
            </w:r>
          </w:p>
        </w:tc>
        <w:tc>
          <w:tcPr>
            <w:tcW w:type="dxa" w:w="3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color w:val="6B6870"/>
                <w:sz w:val="18"/>
                <w:szCs w:val="18"/>
              </w:rPr>
              <w:t xml:space="preserve">Academic year starts September. 3 terms with holidays between.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11827"/>
                <w:sz w:val="18"/>
                <w:szCs w:val="18"/>
              </w:rPr>
              <w:t xml:space="preserve">Senior High School (SHS)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6B6870"/>
                <w:sz w:val="18"/>
                <w:szCs w:val="18"/>
              </w:rPr>
              <w:t xml:space="preserve">SHS 1, SHS 2, SHS 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D97010"/>
                <w:sz w:val="18"/>
                <w:szCs w:val="18"/>
              </w:rPr>
              <w:t xml:space="preserve">Terms (3 per year)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6B6870"/>
                <w:sz w:val="18"/>
                <w:szCs w:val="18"/>
              </w:rPr>
              <w:t xml:space="preserve">Academic year starts September. 3 terms with holidays between.</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b/>
                <w:bCs/>
                <w:color w:val="111827"/>
                <w:sz w:val="18"/>
                <w:szCs w:val="18"/>
              </w:rPr>
              <w:t xml:space="preserve">Primary School</w:t>
            </w:r>
          </w:p>
        </w:tc>
        <w:tc>
          <w:tcPr>
            <w:tcW w:type="dxa" w:w="2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color w:val="6B6870"/>
                <w:sz w:val="18"/>
                <w:szCs w:val="18"/>
              </w:rPr>
              <w:t xml:space="preserve">Primary 1 through Primary 6</w:t>
            </w:r>
          </w:p>
        </w:tc>
        <w:tc>
          <w:tcPr>
            <w:tcW w:type="dxa" w:w="18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color w:val="D97010"/>
                <w:sz w:val="18"/>
                <w:szCs w:val="18"/>
              </w:rPr>
              <w:t xml:space="preserve">Terms (3 per year)</w:t>
            </w:r>
          </w:p>
        </w:tc>
        <w:tc>
          <w:tcPr>
            <w:tcW w:type="dxa" w:w="3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color w:val="6B6870"/>
                <w:sz w:val="18"/>
                <w:szCs w:val="18"/>
              </w:rPr>
              <w:t xml:space="preserve">Academic year starts September.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11827"/>
                <w:sz w:val="18"/>
                <w:szCs w:val="18"/>
              </w:rPr>
              <w:t xml:space="preserve">University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6B6870"/>
                <w:sz w:val="18"/>
                <w:szCs w:val="18"/>
              </w:rPr>
              <w:t xml:space="preserve">Year 1, Year 2, Year 3, Year 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D97010"/>
                <w:sz w:val="18"/>
                <w:szCs w:val="18"/>
              </w:rPr>
              <w:t xml:space="preserve">Semesters (2 per year)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6B6870"/>
                <w:sz w:val="18"/>
                <w:szCs w:val="18"/>
              </w:rPr>
              <w:t xml:space="preserve">Academic year typically starts September. First and second semester.</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b/>
                <w:bCs/>
                <w:color w:val="111827"/>
                <w:sz w:val="18"/>
                <w:szCs w:val="18"/>
              </w:rPr>
              <w:t xml:space="preserve">College / Polytechnic</w:t>
            </w:r>
          </w:p>
        </w:tc>
        <w:tc>
          <w:tcPr>
            <w:tcW w:type="dxa" w:w="2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color w:val="6B6870"/>
                <w:sz w:val="18"/>
                <w:szCs w:val="18"/>
              </w:rPr>
              <w:t xml:space="preserve">Level 100 through Level 400</w:t>
            </w:r>
          </w:p>
        </w:tc>
        <w:tc>
          <w:tcPr>
            <w:tcW w:type="dxa" w:w="18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color w:val="D97010"/>
                <w:sz w:val="18"/>
                <w:szCs w:val="18"/>
              </w:rPr>
              <w:t xml:space="preserve">Semesters (2 per year)</w:t>
            </w:r>
          </w:p>
        </w:tc>
        <w:tc>
          <w:tcPr>
            <w:tcW w:type="dxa" w:w="3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color w:val="6B6870"/>
                <w:sz w:val="18"/>
                <w:szCs w:val="18"/>
              </w:rPr>
              <w:t xml:space="preserve">Aligned to university semester structure.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11827"/>
                <w:sz w:val="18"/>
                <w:szCs w:val="18"/>
              </w:rPr>
              <w:t xml:space="preserve">Training Institution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6B6870"/>
                <w:sz w:val="18"/>
                <w:szCs w:val="18"/>
              </w:rPr>
              <w:t xml:space="preserve">Cohort 1, Cohort 2, Cohort 3, Cohort 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D97010"/>
                <w:sz w:val="18"/>
                <w:szCs w:val="18"/>
              </w:rPr>
              <w:t xml:space="preserve">Intakes (up to 4 per year)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6B6870"/>
                <w:sz w:val="18"/>
                <w:szCs w:val="18"/>
              </w:rPr>
              <w:t xml:space="preserve">Flexible. Academic year starts January.</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b/>
                <w:bCs/>
                <w:color w:val="111827"/>
                <w:sz w:val="18"/>
                <w:szCs w:val="18"/>
              </w:rPr>
              <w:t xml:space="preserve">Corporate / Company</w:t>
            </w:r>
          </w:p>
        </w:tc>
        <w:tc>
          <w:tcPr>
            <w:tcW w:type="dxa" w:w="20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color w:val="6B6870"/>
                <w:sz w:val="18"/>
                <w:szCs w:val="18"/>
              </w:rPr>
              <w:t xml:space="preserve">Q1, Q2, Q3, Q4</w:t>
            </w:r>
          </w:p>
        </w:tc>
        <w:tc>
          <w:tcPr>
            <w:tcW w:type="dxa" w:w="18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color w:val="D97010"/>
                <w:sz w:val="18"/>
                <w:szCs w:val="18"/>
              </w:rPr>
              <w:t xml:space="preserve">Quarters (4 per year)</w:t>
            </w:r>
          </w:p>
        </w:tc>
        <w:tc>
          <w:tcPr>
            <w:tcW w:type="dxa" w:w="33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color w:val="6B6870"/>
                <w:sz w:val="18"/>
                <w:szCs w:val="18"/>
              </w:rPr>
              <w:t xml:space="preserve">Calendar year. Jan to Dec.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111827"/>
                <w:sz w:val="18"/>
                <w:szCs w:val="18"/>
              </w:rPr>
              <w:t xml:space="preserve">Professional Body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6B6870"/>
                <w:sz w:val="18"/>
                <w:szCs w:val="18"/>
              </w:rPr>
              <w:t xml:space="preserve">Foundation, Intermediate, Advanced, Professional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D97010"/>
                <w:sz w:val="18"/>
                <w:szCs w:val="18"/>
              </w:rPr>
              <w:t xml:space="preserve">Semesters (2 per year)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6B6870"/>
                <w:sz w:val="18"/>
                <w:szCs w:val="18"/>
              </w:rPr>
              <w:t xml:space="preserve">Flexible start dates.</w:t>
            </w:r>
          </w:p>
        </w:tc>
      </w:tr>
    </w:tbl>
    <w:p>
      <w:pPr>
        <w:spacing w:after="80" w:before="80"/>
      </w:pPr>
      <w:r>
        <w:t xml:space="preserve"/>
      </w:r>
    </w:p>
    <w:p>
      <w:pPr>
        <w:spacing w:after="100" w:before="60"/>
      </w:pPr>
      <w:r>
        <w:rPr>
          <w:rFonts w:ascii="Arial" w:cs="Arial" w:eastAsia="Arial" w:hAnsi="Arial"/>
          <w:color w:val="111827"/>
          <w:sz w:val="22"/>
          <w:szCs w:val="22"/>
        </w:rPr>
        <w:t xml:space="preserve">Once the master admin panel is built, Sphere staff should be able to manage, add, and modify institution types and their associated level structures from within the admin interface, without requiring a code deployment.</w:t>
      </w:r>
    </w:p>
    <w:p>
      <w:pPr>
        <w:spacing w:after="80" w:before="80"/>
      </w:pPr>
      <w:r>
        <w:t xml:space="preserve"/>
      </w:r>
    </w:p>
    <w:p>
      <w:pPr>
        <w:pageBreakBefore/>
      </w:pPr>
      <w:r>
        <w:t xml:space="preserve"/>
      </w:r>
    </w:p>
    <w:p>
      <w:pPr>
        <w:pStyle w:val="Heading1"/>
        <w:spacing w:after="120" w:before="360"/>
      </w:pPr>
      <w:r>
        <w:rPr>
          <w:rFonts w:ascii="Arial" w:cs="Arial" w:eastAsia="Arial" w:hAnsi="Arial"/>
          <w:b/>
          <w:bCs/>
          <w:color w:val="0C1021"/>
          <w:sz w:val="32"/>
          <w:szCs w:val="32"/>
        </w:rPr>
        <w:t xml:space="preserve">7. User Journey and Funnel</w:t>
      </w:r>
    </w:p>
    <w:p>
      <w:pPr>
        <w:spacing w:after="100" w:before="60"/>
      </w:pPr>
      <w:r>
        <w:rPr>
          <w:rFonts w:ascii="Arial" w:cs="Arial" w:eastAsia="Arial" w:hAnsi="Arial"/>
          <w:color w:val="111827"/>
          <w:sz w:val="22"/>
          <w:szCs w:val="22"/>
        </w:rPr>
        <w:t xml:space="preserve">SphereSDS is designed so that a user can enter the platform at any level of intent, from a casual visitor who just received a session code, all the way to an institution paying for unlimited seats. Each stage of the journey has a clear trigger that moves the user to the next stage.</w:t>
      </w:r>
    </w:p>
    <w:p>
      <w:pPr>
        <w:spacing w:after="80" w:before="80"/>
      </w:pPr>
      <w:r>
        <w:t xml:space="preserve"/>
      </w:r>
    </w:p>
    <w:p>
      <w:pPr>
        <w:pStyle w:val="Heading3"/>
        <w:spacing w:after="60" w:before="200"/>
      </w:pPr>
      <w:r>
        <w:rPr>
          <w:rFonts w:ascii="Arial" w:cs="Arial" w:eastAsia="Arial" w:hAnsi="Arial"/>
          <w:b/>
          <w:bCs/>
          <w:color w:val="6B6870"/>
          <w:sz w:val="22"/>
          <w:szCs w:val="22"/>
        </w:rPr>
        <w:t xml:space="preserve">Stage 1: Visitor (No account)</w:t>
      </w:r>
    </w:p>
    <w:p>
      <w:pPr>
        <w:pStyle w:val="ListParagraph"/>
        <w:numPr>
          <w:ilvl w:val="0"/>
          <w:numId w:val="2"/>
        </w:numPr>
        <w:spacing w:after="40" w:before="40"/>
      </w:pPr>
      <w:r>
        <w:rPr>
          <w:rFonts w:ascii="Arial" w:cs="Arial" w:eastAsia="Arial" w:hAnsi="Arial"/>
          <w:color w:val="111827"/>
          <w:sz w:val="22"/>
          <w:szCs w:val="22"/>
        </w:rPr>
        <w:t xml:space="preserve">User receives a session code for an open Assess, Engage, or Learn session</w:t>
      </w:r>
    </w:p>
    <w:p>
      <w:pPr>
        <w:pStyle w:val="ListParagraph"/>
        <w:numPr>
          <w:ilvl w:val="0"/>
          <w:numId w:val="2"/>
        </w:numPr>
        <w:spacing w:after="40" w:before="40"/>
      </w:pPr>
      <w:r>
        <w:rPr>
          <w:rFonts w:ascii="Arial" w:cs="Arial" w:eastAsia="Arial" w:hAnsi="Arial"/>
          <w:color w:val="111827"/>
          <w:sz w:val="22"/>
          <w:szCs w:val="22"/>
        </w:rPr>
        <w:t xml:space="preserve">They enter the code and join the session without creating an account</w:t>
      </w:r>
    </w:p>
    <w:p>
      <w:pPr>
        <w:pStyle w:val="ListParagraph"/>
        <w:numPr>
          <w:ilvl w:val="0"/>
          <w:numId w:val="2"/>
        </w:numPr>
        <w:spacing w:after="40" w:before="40"/>
      </w:pPr>
      <w:r>
        <w:rPr>
          <w:rFonts w:ascii="Arial" w:cs="Arial" w:eastAsia="Arial" w:hAnsi="Arial"/>
          <w:color w:val="111827"/>
          <w:sz w:val="22"/>
          <w:szCs w:val="22"/>
        </w:rPr>
        <w:t xml:space="preserve">They participate, complete the session, and see their results on the same page</w:t>
      </w:r>
    </w:p>
    <w:p>
      <w:pPr>
        <w:pStyle w:val="ListParagraph"/>
        <w:numPr>
          <w:ilvl w:val="0"/>
          <w:numId w:val="2"/>
        </w:numPr>
        <w:spacing w:after="40" w:before="40"/>
      </w:pPr>
      <w:r>
        <w:rPr>
          <w:rFonts w:ascii="Arial" w:cs="Arial" w:eastAsia="Arial" w:hAnsi="Arial"/>
          <w:color w:val="111827"/>
          <w:sz w:val="22"/>
          <w:szCs w:val="22"/>
        </w:rPr>
        <w:t xml:space="preserve">Risk: they can close the tab and lose their results permanently</w:t>
      </w:r>
    </w:p>
    <w:p>
      <w:pPr>
        <w:spacing w:after="80" w:before="80"/>
      </w:pPr>
      <w:r>
        <w:t xml:space="preserve"/>
      </w:r>
    </w:p>
    <w:p>
      <w:pPr>
        <w:pStyle w:val="Heading3"/>
        <w:spacing w:after="60" w:before="200"/>
      </w:pPr>
      <w:r>
        <w:rPr>
          <w:rFonts w:ascii="Arial" w:cs="Arial" w:eastAsia="Arial" w:hAnsi="Arial"/>
          <w:b/>
          <w:bCs/>
          <w:color w:val="2E2886"/>
          <w:sz w:val="22"/>
          <w:szCs w:val="22"/>
        </w:rPr>
        <w:t xml:space="preserve">Stage 2: Prompted to sign up (Membership conversion)</w:t>
      </w:r>
    </w:p>
    <w:p>
      <w:pPr>
        <w:pStyle w:val="ListParagraph"/>
        <w:numPr>
          <w:ilvl w:val="0"/>
          <w:numId w:val="2"/>
        </w:numPr>
        <w:spacing w:after="40" w:before="40"/>
      </w:pPr>
      <w:r>
        <w:rPr>
          <w:rFonts w:ascii="Arial" w:cs="Arial" w:eastAsia="Arial" w:hAnsi="Arial"/>
          <w:color w:val="111827"/>
          <w:sz w:val="22"/>
          <w:szCs w:val="22"/>
        </w:rPr>
        <w:t xml:space="preserve">Immediately after the session, Sphere shows a sign-up prompt: save your results, keep your session history, access more</w:t>
      </w:r>
    </w:p>
    <w:p>
      <w:pPr>
        <w:pStyle w:val="ListParagraph"/>
        <w:numPr>
          <w:ilvl w:val="0"/>
          <w:numId w:val="2"/>
        </w:numPr>
        <w:spacing w:after="40" w:before="40"/>
      </w:pPr>
      <w:r>
        <w:rPr>
          <w:rFonts w:ascii="Arial" w:cs="Arial" w:eastAsia="Arial" w:hAnsi="Arial"/>
          <w:color w:val="111827"/>
          <w:sz w:val="22"/>
          <w:szCs w:val="22"/>
        </w:rPr>
        <w:t xml:space="preserve">The guest session claim mechanism links their result to their new account automatically on signup</w:t>
      </w:r>
    </w:p>
    <w:p>
      <w:pPr>
        <w:pStyle w:val="ListParagraph"/>
        <w:numPr>
          <w:ilvl w:val="0"/>
          <w:numId w:val="2"/>
        </w:numPr>
        <w:spacing w:after="40" w:before="40"/>
      </w:pPr>
      <w:r>
        <w:rPr>
          <w:rFonts w:ascii="Arial" w:cs="Arial" w:eastAsia="Arial" w:hAnsi="Arial"/>
          <w:color w:val="111827"/>
          <w:sz w:val="22"/>
          <w:szCs w:val="22"/>
        </w:rPr>
        <w:t xml:space="preserve">Once they create a Membership account, they unlock Assess and Engage creation (5 each) and up to 5 students per session</w:t>
      </w:r>
    </w:p>
    <w:p>
      <w:pPr>
        <w:pStyle w:val="ListParagraph"/>
        <w:numPr>
          <w:ilvl w:val="0"/>
          <w:numId w:val="2"/>
        </w:numPr>
        <w:spacing w:after="40" w:before="40"/>
      </w:pPr>
      <w:r>
        <w:rPr>
          <w:rFonts w:ascii="Arial" w:cs="Arial" w:eastAsia="Arial" w:hAnsi="Arial"/>
          <w:color w:val="111827"/>
          <w:sz w:val="22"/>
          <w:szCs w:val="22"/>
        </w:rPr>
        <w:t xml:space="preserve">This is also the moment to introduce the value of being a creator, not just a participant</w:t>
      </w:r>
    </w:p>
    <w:p>
      <w:pPr>
        <w:spacing w:after="80" w:before="80"/>
      </w:pPr>
      <w:r>
        <w:t xml:space="preserve"/>
      </w:r>
    </w:p>
    <w:p>
      <w:pPr>
        <w:pStyle w:val="Heading3"/>
        <w:spacing w:after="60" w:before="200"/>
      </w:pPr>
      <w:r>
        <w:rPr>
          <w:rFonts w:ascii="Arial" w:cs="Arial" w:eastAsia="Arial" w:hAnsi="Arial"/>
          <w:b/>
          <w:bCs/>
          <w:color w:val="1A8966"/>
          <w:sz w:val="22"/>
          <w:szCs w:val="22"/>
        </w:rPr>
        <w:t xml:space="preserve">Stage 3: Membership (Active user, upsell target)</w:t>
      </w:r>
    </w:p>
    <w:p>
      <w:pPr>
        <w:pStyle w:val="ListParagraph"/>
        <w:numPr>
          <w:ilvl w:val="0"/>
          <w:numId w:val="2"/>
        </w:numPr>
        <w:spacing w:after="40" w:before="40"/>
      </w:pPr>
      <w:r>
        <w:rPr>
          <w:rFonts w:ascii="Arial" w:cs="Arial" w:eastAsia="Arial" w:hAnsi="Arial"/>
          <w:color w:val="111827"/>
          <w:sz w:val="22"/>
          <w:szCs w:val="22"/>
        </w:rPr>
        <w:t xml:space="preserve">User has access to Assess and Engage with creation limits</w:t>
      </w:r>
    </w:p>
    <w:p>
      <w:pPr>
        <w:pStyle w:val="ListParagraph"/>
        <w:numPr>
          <w:ilvl w:val="0"/>
          <w:numId w:val="2"/>
        </w:numPr>
        <w:spacing w:after="40" w:before="40"/>
      </w:pPr>
      <w:r>
        <w:rPr>
          <w:rFonts w:ascii="Arial" w:cs="Arial" w:eastAsia="Arial" w:hAnsi="Arial"/>
          <w:color w:val="111827"/>
          <w:sz w:val="22"/>
          <w:szCs w:val="22"/>
        </w:rPr>
        <w:t xml:space="preserve">As they hit their creation limits, they see clear upgrade messaging with specific benefits of Creator</w:t>
      </w:r>
    </w:p>
    <w:p>
      <w:pPr>
        <w:pStyle w:val="ListParagraph"/>
        <w:numPr>
          <w:ilvl w:val="0"/>
          <w:numId w:val="2"/>
        </w:numPr>
        <w:spacing w:after="40" w:before="40"/>
      </w:pPr>
      <w:r>
        <w:rPr>
          <w:rFonts w:ascii="Arial" w:cs="Arial" w:eastAsia="Arial" w:hAnsi="Arial"/>
          <w:color w:val="111827"/>
          <w:sz w:val="22"/>
          <w:szCs w:val="22"/>
        </w:rPr>
        <w:t xml:space="preserve">As they try to access Learn or Train, they are shown the Creator or Institution tier that unlocks it</w:t>
      </w:r>
    </w:p>
    <w:p>
      <w:pPr>
        <w:pStyle w:val="ListParagraph"/>
        <w:numPr>
          <w:ilvl w:val="0"/>
          <w:numId w:val="2"/>
        </w:numPr>
        <w:spacing w:after="40" w:before="40"/>
      </w:pPr>
      <w:r>
        <w:rPr>
          <w:rFonts w:ascii="Arial" w:cs="Arial" w:eastAsia="Arial" w:hAnsi="Arial"/>
          <w:color w:val="111827"/>
          <w:sz w:val="22"/>
          <w:szCs w:val="22"/>
        </w:rPr>
        <w:t xml:space="preserve">The CreationGate component surfaces at quota limits with a direct path to the billing page</w:t>
      </w:r>
    </w:p>
    <w:p>
      <w:pPr>
        <w:spacing w:after="80" w:before="80"/>
      </w:pPr>
      <w:r>
        <w:t xml:space="preserve"/>
      </w:r>
    </w:p>
    <w:p>
      <w:pPr>
        <w:pStyle w:val="Heading3"/>
        <w:spacing w:after="60" w:before="200"/>
      </w:pPr>
      <w:r>
        <w:rPr>
          <w:rFonts w:ascii="Arial" w:cs="Arial" w:eastAsia="Arial" w:hAnsi="Arial"/>
          <w:b/>
          <w:bCs/>
          <w:color w:val="D97010"/>
          <w:sz w:val="22"/>
          <w:szCs w:val="22"/>
        </w:rPr>
        <w:t xml:space="preserve">Stage 4a: Creator (Quarterly or Marketplace)</w:t>
      </w:r>
    </w:p>
    <w:p>
      <w:pPr>
        <w:pStyle w:val="ListParagraph"/>
        <w:numPr>
          <w:ilvl w:val="0"/>
          <w:numId w:val="2"/>
        </w:numPr>
        <w:spacing w:after="40" w:before="40"/>
      </w:pPr>
      <w:r>
        <w:rPr>
          <w:rFonts w:ascii="Arial" w:cs="Arial" w:eastAsia="Arial" w:hAnsi="Arial"/>
          <w:color w:val="111827"/>
          <w:sz w:val="22"/>
          <w:szCs w:val="22"/>
        </w:rPr>
        <w:t xml:space="preserve">User upgrades to Creator Quarterly (GHS 300/quarter) for full module access and 40 customisable creations</w:t>
      </w:r>
    </w:p>
    <w:p>
      <w:pPr>
        <w:pStyle w:val="ListParagraph"/>
        <w:numPr>
          <w:ilvl w:val="0"/>
          <w:numId w:val="2"/>
        </w:numPr>
        <w:spacing w:after="40" w:before="40"/>
      </w:pPr>
      <w:r>
        <w:rPr>
          <w:rFonts w:ascii="Arial" w:cs="Arial" w:eastAsia="Arial" w:hAnsi="Arial"/>
          <w:color w:val="111827"/>
          <w:sz w:val="22"/>
          <w:szCs w:val="22"/>
        </w:rPr>
        <w:t xml:space="preserve">Or takes the Marketplace Creator route for unlimited creations in exchange for meeting the 10-creation minimum activity requirement</w:t>
      </w:r>
    </w:p>
    <w:p>
      <w:pPr>
        <w:pStyle w:val="ListParagraph"/>
        <w:numPr>
          <w:ilvl w:val="0"/>
          <w:numId w:val="2"/>
        </w:numPr>
        <w:spacing w:after="40" w:before="40"/>
      </w:pPr>
      <w:r>
        <w:rPr>
          <w:rFonts w:ascii="Arial" w:cs="Arial" w:eastAsia="Arial" w:hAnsi="Arial"/>
          <w:color w:val="111827"/>
          <w:sz w:val="22"/>
          <w:szCs w:val="22"/>
        </w:rPr>
        <w:t xml:space="preserve">Creator users can now sell resources and earn revenue through the marketplace</w:t>
      </w:r>
    </w:p>
    <w:p>
      <w:pPr>
        <w:pStyle w:val="ListParagraph"/>
        <w:numPr>
          <w:ilvl w:val="0"/>
          <w:numId w:val="2"/>
        </w:numPr>
        <w:spacing w:after="40" w:before="40"/>
      </w:pPr>
      <w:r>
        <w:rPr>
          <w:rFonts w:ascii="Arial" w:cs="Arial" w:eastAsia="Arial" w:hAnsi="Arial"/>
          <w:color w:val="111827"/>
          <w:sz w:val="22"/>
          <w:szCs w:val="22"/>
        </w:rPr>
        <w:t xml:space="preserve">Certificates and personalised links unlock at this tier</w:t>
      </w:r>
    </w:p>
    <w:p>
      <w:pPr>
        <w:spacing w:after="80" w:before="80"/>
      </w:pPr>
      <w:r>
        <w:t xml:space="preserve"/>
      </w:r>
    </w:p>
    <w:p>
      <w:pPr>
        <w:pStyle w:val="Heading3"/>
        <w:spacing w:after="60" w:before="200"/>
      </w:pPr>
      <w:r>
        <w:rPr>
          <w:rFonts w:ascii="Arial" w:cs="Arial" w:eastAsia="Arial" w:hAnsi="Arial"/>
          <w:b/>
          <w:bCs/>
          <w:color w:val="0C1021"/>
          <w:sz w:val="22"/>
          <w:szCs w:val="22"/>
        </w:rPr>
        <w:t xml:space="preserve">Stage 4b: Institution</w:t>
      </w:r>
    </w:p>
    <w:p>
      <w:pPr>
        <w:pStyle w:val="ListParagraph"/>
        <w:numPr>
          <w:ilvl w:val="0"/>
          <w:numId w:val="2"/>
        </w:numPr>
        <w:spacing w:after="40" w:before="40"/>
      </w:pPr>
      <w:r>
        <w:rPr>
          <w:rFonts w:ascii="Arial" w:cs="Arial" w:eastAsia="Arial" w:hAnsi="Arial"/>
          <w:color w:val="111827"/>
          <w:sz w:val="22"/>
          <w:szCs w:val="22"/>
        </w:rPr>
        <w:t xml:space="preserve">Institutional buyer signs up directly or upgrades from Creator</w:t>
      </w:r>
    </w:p>
    <w:p>
      <w:pPr>
        <w:pStyle w:val="ListParagraph"/>
        <w:numPr>
          <w:ilvl w:val="0"/>
          <w:numId w:val="2"/>
        </w:numPr>
        <w:spacing w:after="40" w:before="40"/>
      </w:pPr>
      <w:r>
        <w:rPr>
          <w:rFonts w:ascii="Arial" w:cs="Arial" w:eastAsia="Arial" w:hAnsi="Arial"/>
          <w:color w:val="111827"/>
          <w:sz w:val="22"/>
          <w:szCs w:val="22"/>
        </w:rPr>
        <w:t xml:space="preserve">Onboarding includes: institution name, institution type selection (which auto-populates levels), module selection, team member invitations</w:t>
      </w:r>
    </w:p>
    <w:p>
      <w:pPr>
        <w:pStyle w:val="ListParagraph"/>
        <w:numPr>
          <w:ilvl w:val="0"/>
          <w:numId w:val="2"/>
        </w:numPr>
        <w:spacing w:after="40" w:before="40"/>
      </w:pPr>
      <w:r>
        <w:rPr>
          <w:rFonts w:ascii="Arial" w:cs="Arial" w:eastAsia="Arial" w:hAnsi="Arial"/>
          <w:color w:val="111827"/>
          <w:sz w:val="22"/>
          <w:szCs w:val="22"/>
        </w:rPr>
        <w:t xml:space="preserve">Base capacity is 100 students per session. Additional students trigger per-head pricing</w:t>
      </w:r>
    </w:p>
    <w:p>
      <w:pPr>
        <w:pStyle w:val="ListParagraph"/>
        <w:numPr>
          <w:ilvl w:val="0"/>
          <w:numId w:val="2"/>
        </w:numPr>
        <w:spacing w:after="40" w:before="40"/>
      </w:pPr>
      <w:r>
        <w:rPr>
          <w:rFonts w:ascii="Arial" w:cs="Arial" w:eastAsia="Arial" w:hAnsi="Arial"/>
          <w:color w:val="111827"/>
          <w:sz w:val="22"/>
          <w:szCs w:val="22"/>
        </w:rPr>
        <w:t xml:space="preserve">Certificates with custom-branded templates are available</w:t>
      </w:r>
    </w:p>
    <w:p>
      <w:pPr>
        <w:spacing w:after="80" w:before="80"/>
      </w:pPr>
      <w:r>
        <w:t xml:space="preserve"/>
      </w:r>
    </w:p>
    <w:p>
      <w:pPr>
        <w:spacing w:after="100" w:before="60"/>
      </w:pPr>
      <w:r>
        <w:rPr>
          <w:rFonts w:ascii="Arial" w:cs="Arial" w:eastAsia="Arial" w:hAnsi="Arial"/>
          <w:color w:val="111827"/>
          <w:sz w:val="22"/>
          <w:szCs w:val="22"/>
        </w:rPr>
        <w:t xml:space="preserve">The key principle across all stages: every transition is driven by value delivered at the current stage, not by artificial barriers. The user should feel that upgrading is the obvious next step, not a forced purchase.</w:t>
      </w:r>
    </w:p>
    <w:p>
      <w:pPr>
        <w:spacing w:after="80" w:before="80"/>
      </w:pPr>
      <w:r>
        <w:t xml:space="preserve"/>
      </w:r>
    </w:p>
    <w:p>
      <w:pPr>
        <w:pStyle w:val="Heading1"/>
        <w:spacing w:after="120" w:before="360"/>
      </w:pPr>
      <w:r>
        <w:rPr>
          <w:rFonts w:ascii="Arial" w:cs="Arial" w:eastAsia="Arial" w:hAnsi="Arial"/>
          <w:b/>
          <w:bCs/>
          <w:color w:val="0C1021"/>
          <w:sz w:val="32"/>
          <w:szCs w:val="32"/>
        </w:rPr>
        <w:t xml:space="preserve">8. Marketplace Architecture</w:t>
      </w:r>
    </w:p>
    <w:p>
      <w:pPr>
        <w:spacing w:after="100" w:before="60"/>
      </w:pPr>
      <w:r>
        <w:rPr>
          <w:rFonts w:ascii="Arial" w:cs="Arial" w:eastAsia="Arial" w:hAnsi="Arial"/>
          <w:color w:val="111827"/>
          <w:sz w:val="22"/>
          <w:szCs w:val="22"/>
        </w:rPr>
        <w:t xml:space="preserve">The marketplace is described as a vibrant place where creators list resources and buyers purchase and use them. If designed correctly, it becomes a self-reinforcing distribution engine where more quality creators attract more buyers, which attracts more creators.</w:t>
      </w:r>
    </w:p>
    <w:p>
      <w:pPr>
        <w:spacing w:after="80" w:before="80"/>
      </w:pPr>
      <w:r>
        <w:t xml:space="preserve"/>
      </w:r>
    </w:p>
    <w:p>
      <w:pPr>
        <w:pStyle w:val="Heading3"/>
        <w:spacing w:after="60" w:before="200"/>
      </w:pPr>
      <w:r>
        <w:rPr>
          <w:rFonts w:ascii="Arial" w:cs="Arial" w:eastAsia="Arial" w:hAnsi="Arial"/>
          <w:b/>
          <w:bCs/>
          <w:color w:val="D97010"/>
          <w:sz w:val="22"/>
          <w:szCs w:val="22"/>
        </w:rPr>
        <w:t xml:space="preserve">8.1 Creator Personalised Links</w:t>
      </w:r>
    </w:p>
    <w:p>
      <w:pPr>
        <w:spacing w:after="100" w:before="60"/>
      </w:pPr>
      <w:r>
        <w:rPr>
          <w:rFonts w:ascii="Arial" w:cs="Arial" w:eastAsia="Arial" w:hAnsi="Arial"/>
          <w:color w:val="111827"/>
          <w:sz w:val="22"/>
          <w:szCs w:val="22"/>
        </w:rPr>
        <w:t xml:space="preserve">Every creator who publishes to the marketplace receives a personalised link tied to their profile. This is not optional. The link allows creators to distribute their resources directly to their audience, bypassing the need for buyers to discover them through the main marketplace browse. An influencer with 10,000 followers does not need marketplace discoverability. They need a direct URL they can share. SphereSDS still captures the sale and takes the commission regardless of how the buyer arrived.</w:t>
      </w:r>
    </w:p>
    <w:p>
      <w:pPr>
        <w:spacing w:after="80" w:before="80"/>
      </w:pPr>
      <w:r>
        <w:t xml:space="preserve"/>
      </w:r>
    </w:p>
    <w:p>
      <w:pPr>
        <w:pStyle w:val="Heading3"/>
        <w:spacing w:after="60" w:before="200"/>
      </w:pPr>
      <w:r>
        <w:rPr>
          <w:rFonts w:ascii="Arial" w:cs="Arial" w:eastAsia="Arial" w:hAnsi="Arial"/>
          <w:b/>
          <w:bCs/>
          <w:color w:val="1A8966"/>
          <w:sz w:val="22"/>
          <w:szCs w:val="22"/>
        </w:rPr>
        <w:t xml:space="preserve">8.2 Level-Based Content Matching</w:t>
      </w:r>
    </w:p>
    <w:p>
      <w:pPr>
        <w:spacing w:after="100" w:before="60"/>
      </w:pPr>
      <w:r>
        <w:rPr>
          <w:rFonts w:ascii="Arial" w:cs="Arial" w:eastAsia="Arial" w:hAnsi="Arial"/>
          <w:color w:val="111827"/>
          <w:sz w:val="22"/>
          <w:szCs w:val="22"/>
        </w:rPr>
        <w:t xml:space="preserve">The marketplace must not show every resource to every user. When a student's level is known (either from their institution profile or from their self-reported level during signup), the marketplace should surface resources appropriate to that level first. A JHS student should not be confronted with university-level exam preparation resources. This requires the user level data to be connected to the resource tagging system.</w:t>
      </w:r>
    </w:p>
    <w:p>
      <w:pPr>
        <w:spacing w:after="80" w:before="80"/>
      </w:pPr>
      <w:r>
        <w:t xml:space="preserve"/>
      </w:r>
    </w:p>
    <w:p>
      <w:pPr>
        <w:pStyle w:val="Heading3"/>
        <w:spacing w:after="60" w:before="200"/>
      </w:pPr>
      <w:r>
        <w:rPr>
          <w:rFonts w:ascii="Arial" w:cs="Arial" w:eastAsia="Arial" w:hAnsi="Arial"/>
          <w:b/>
          <w:bCs/>
          <w:color w:val="2E2886"/>
          <w:sz w:val="22"/>
          <w:szCs w:val="22"/>
        </w:rPr>
        <w:t xml:space="preserve">8.3 Discoverability Engine (Admin-Curated)</w:t>
      </w:r>
    </w:p>
    <w:p>
      <w:pPr>
        <w:spacing w:after="100" w:before="60"/>
      </w:pPr>
      <w:r>
        <w:rPr>
          <w:rFonts w:ascii="Arial" w:cs="Arial" w:eastAsia="Arial" w:hAnsi="Arial"/>
          <w:color w:val="111827"/>
          <w:sz w:val="22"/>
          <w:szCs w:val="22"/>
        </w:rPr>
        <w:t xml:space="preserve">The marketplace will eventually contain thousands of resources. Admin must have tools to surface, feature, and organise resources in ways that go beyond a flat list. Collins specified that admin has a way of making resources available to users in interesting ways. This suggests:</w:t>
      </w:r>
    </w:p>
    <w:p>
      <w:pPr>
        <w:pStyle w:val="ListParagraph"/>
        <w:numPr>
          <w:ilvl w:val="0"/>
          <w:numId w:val="2"/>
        </w:numPr>
        <w:spacing w:after="40" w:before="40"/>
      </w:pPr>
      <w:r>
        <w:rPr>
          <w:rFonts w:ascii="Arial" w:cs="Arial" w:eastAsia="Arial" w:hAnsi="Arial"/>
          <w:color w:val="111827"/>
          <w:sz w:val="22"/>
          <w:szCs w:val="22"/>
        </w:rPr>
        <w:t xml:space="preserve">Featured collections curated by Sphere staff</w:t>
      </w:r>
    </w:p>
    <w:p>
      <w:pPr>
        <w:pStyle w:val="ListParagraph"/>
        <w:numPr>
          <w:ilvl w:val="0"/>
          <w:numId w:val="2"/>
        </w:numPr>
        <w:spacing w:after="40" w:before="40"/>
      </w:pPr>
      <w:r>
        <w:rPr>
          <w:rFonts w:ascii="Arial" w:cs="Arial" w:eastAsia="Arial" w:hAnsi="Arial"/>
          <w:color w:val="111827"/>
          <w:sz w:val="22"/>
          <w:szCs w:val="22"/>
        </w:rPr>
        <w:t xml:space="preserve">Level-filtered browse (show me SHS resources)</w:t>
      </w:r>
    </w:p>
    <w:p>
      <w:pPr>
        <w:pStyle w:val="ListParagraph"/>
        <w:numPr>
          <w:ilvl w:val="0"/>
          <w:numId w:val="2"/>
        </w:numPr>
        <w:spacing w:after="40" w:before="40"/>
      </w:pPr>
      <w:r>
        <w:rPr>
          <w:rFonts w:ascii="Arial" w:cs="Arial" w:eastAsia="Arial" w:hAnsi="Arial"/>
          <w:color w:val="111827"/>
          <w:sz w:val="22"/>
          <w:szCs w:val="22"/>
        </w:rPr>
        <w:t xml:space="preserve">Module-filtered browse (show me Engage sessions only)</w:t>
      </w:r>
    </w:p>
    <w:p>
      <w:pPr>
        <w:pStyle w:val="ListParagraph"/>
        <w:numPr>
          <w:ilvl w:val="0"/>
          <w:numId w:val="2"/>
        </w:numPr>
        <w:spacing w:after="40" w:before="40"/>
      </w:pPr>
      <w:r>
        <w:rPr>
          <w:rFonts w:ascii="Arial" w:cs="Arial" w:eastAsia="Arial" w:hAnsi="Arial"/>
          <w:color w:val="111827"/>
          <w:sz w:val="22"/>
          <w:szCs w:val="22"/>
        </w:rPr>
        <w:t xml:space="preserve">New arrivals and trending sections</w:t>
      </w:r>
    </w:p>
    <w:p>
      <w:pPr>
        <w:pStyle w:val="ListParagraph"/>
        <w:numPr>
          <w:ilvl w:val="0"/>
          <w:numId w:val="2"/>
        </w:numPr>
        <w:spacing w:after="40" w:before="40"/>
      </w:pPr>
      <w:r>
        <w:rPr>
          <w:rFonts w:ascii="Arial" w:cs="Arial" w:eastAsia="Arial" w:hAnsi="Arial"/>
          <w:color w:val="111827"/>
          <w:sz w:val="22"/>
          <w:szCs w:val="22"/>
        </w:rPr>
        <w:t xml:space="preserve">Subject or topic tagging for cross-filter search</w:t>
      </w:r>
    </w:p>
    <w:p>
      <w:pPr>
        <w:spacing w:after="80" w:before="80"/>
      </w:pPr>
      <w:r>
        <w:t xml:space="preserve"/>
      </w:r>
    </w:p>
    <w:p>
      <w:pPr>
        <w:pStyle w:val="Heading3"/>
        <w:spacing w:after="60" w:before="200"/>
      </w:pPr>
      <w:r>
        <w:rPr>
          <w:rFonts w:ascii="Arial" w:cs="Arial" w:eastAsia="Arial" w:hAnsi="Arial"/>
          <w:b/>
          <w:bCs/>
          <w:color w:val="C23B2A"/>
          <w:sz w:val="22"/>
          <w:szCs w:val="22"/>
        </w:rPr>
        <w:t xml:space="preserve">8.4 SphereSDS-Assisted Content Creation</w:t>
      </w:r>
    </w:p>
    <w:p>
      <w:pPr>
        <w:spacing w:after="100" w:before="60"/>
      </w:pPr>
      <w:r>
        <w:rPr>
          <w:rFonts w:ascii="Arial" w:cs="Arial" w:eastAsia="Arial" w:hAnsi="Arial"/>
          <w:color w:val="111827"/>
          <w:sz w:val="22"/>
          <w:szCs w:val="22"/>
        </w:rPr>
        <w:t xml:space="preserve">A separate model exists for cases where SphereSDS staff help a creator produce their marketplace resources. The exact commission split in this scenario is different from the self-created model and needs to be defined. Collins flagged this as something to think deep about. The variables to resolve are:</w:t>
      </w:r>
    </w:p>
    <w:p>
      <w:pPr>
        <w:pStyle w:val="ListParagraph"/>
        <w:numPr>
          <w:ilvl w:val="0"/>
          <w:numId w:val="2"/>
        </w:numPr>
        <w:spacing w:after="40" w:before="40"/>
      </w:pPr>
      <w:r>
        <w:rPr>
          <w:rFonts w:ascii="Arial" w:cs="Arial" w:eastAsia="Arial" w:hAnsi="Arial"/>
          <w:color w:val="111827"/>
          <w:sz w:val="22"/>
          <w:szCs w:val="22"/>
        </w:rPr>
        <w:t xml:space="preserve">What percentage does SphereSDS take on a self-created resource sale?</w:t>
      </w:r>
    </w:p>
    <w:p>
      <w:pPr>
        <w:pStyle w:val="ListParagraph"/>
        <w:numPr>
          <w:ilvl w:val="0"/>
          <w:numId w:val="2"/>
        </w:numPr>
        <w:spacing w:after="40" w:before="40"/>
      </w:pPr>
      <w:r>
        <w:rPr>
          <w:rFonts w:ascii="Arial" w:cs="Arial" w:eastAsia="Arial" w:hAnsi="Arial"/>
          <w:color w:val="111827"/>
          <w:sz w:val="22"/>
          <w:szCs w:val="22"/>
        </w:rPr>
        <w:t xml:space="preserve">What percentage does SphereSDS take when SphereSDS helped create the resource?</w:t>
      </w:r>
    </w:p>
    <w:p>
      <w:pPr>
        <w:pStyle w:val="ListParagraph"/>
        <w:numPr>
          <w:ilvl w:val="0"/>
          <w:numId w:val="2"/>
        </w:numPr>
        <w:spacing w:after="40" w:before="40"/>
      </w:pPr>
      <w:r>
        <w:rPr>
          <w:rFonts w:ascii="Arial" w:cs="Arial" w:eastAsia="Arial" w:hAnsi="Arial"/>
          <w:color w:val="111827"/>
          <w:sz w:val="22"/>
          <w:szCs w:val="22"/>
        </w:rPr>
        <w:t xml:space="preserve">Is the assisted-creation fee upfront, commission-only, or hybrid?</w:t>
      </w:r>
    </w:p>
    <w:p>
      <w:pPr>
        <w:pStyle w:val="ListParagraph"/>
        <w:numPr>
          <w:ilvl w:val="0"/>
          <w:numId w:val="2"/>
        </w:numPr>
        <w:spacing w:after="40" w:before="40"/>
      </w:pPr>
      <w:r>
        <w:rPr>
          <w:rFonts w:ascii="Arial" w:cs="Arial" w:eastAsia="Arial" w:hAnsi="Arial"/>
          <w:color w:val="111827"/>
          <w:sz w:val="22"/>
          <w:szCs w:val="22"/>
        </w:rPr>
        <w:t xml:space="preserve">Does the creator retain full ownership of assisted-creation resources?</w:t>
      </w:r>
    </w:p>
    <w:p>
      <w:pPr>
        <w:spacing w:after="80" w:before="80"/>
      </w:pPr>
      <w:r>
        <w:t xml:space="preserve"/>
      </w:r>
    </w:p>
    <w:p>
      <w:pPr>
        <w:pStyle w:val="Heading1"/>
        <w:spacing w:after="120" w:before="360"/>
      </w:pPr>
      <w:r>
        <w:rPr>
          <w:rFonts w:ascii="Arial" w:cs="Arial" w:eastAsia="Arial" w:hAnsi="Arial"/>
          <w:b/>
          <w:bCs/>
          <w:color w:val="0C1021"/>
          <w:sz w:val="32"/>
          <w:szCs w:val="32"/>
        </w:rPr>
        <w:t xml:space="preserve">9. Certificates</w:t>
      </w:r>
    </w:p>
    <w:p>
      <w:pPr>
        <w:spacing w:after="100" w:before="60"/>
      </w:pPr>
      <w:r>
        <w:rPr>
          <w:rFonts w:ascii="Arial" w:cs="Arial" w:eastAsia="Arial" w:hAnsi="Arial"/>
          <w:color w:val="111827"/>
          <w:sz w:val="22"/>
          <w:szCs w:val="22"/>
        </w:rPr>
        <w:t xml:space="preserve">Certificates are a feature available at Creator and Institution tier. They are not available on Membership. Certificates attach to completed Assess (exams), Learn (courses), and Train (training paths) resources, though the exact module scope requires confirmation.</w:t>
      </w:r>
    </w:p>
    <w:p>
      <w:pPr>
        <w:spacing w:after="80" w:before="80"/>
      </w:pPr>
      <w:r>
        <w:t xml:space="preserve"/>
      </w:r>
    </w:p>
    <w:p>
      <w:pPr>
        <w:pStyle w:val="ListParagraph"/>
        <w:numPr>
          <w:ilvl w:val="0"/>
          <w:numId w:val="2"/>
        </w:numPr>
        <w:spacing w:after="40" w:before="40"/>
      </w:pPr>
      <w:r>
        <w:rPr>
          <w:rFonts w:ascii="Arial" w:cs="Arial" w:eastAsia="Arial" w:hAnsi="Arial"/>
          <w:color w:val="111827"/>
          <w:sz w:val="22"/>
          <w:szCs w:val="22"/>
        </w:rPr>
        <w:t xml:space="preserve">Certificates are a toggleable feature: the creator or institution decides whether a particular resource issues a certificate on completion</w:t>
      </w:r>
    </w:p>
    <w:p>
      <w:pPr>
        <w:pStyle w:val="ListParagraph"/>
        <w:numPr>
          <w:ilvl w:val="0"/>
          <w:numId w:val="2"/>
        </w:numPr>
        <w:spacing w:after="40" w:before="40"/>
      </w:pPr>
      <w:r>
        <w:rPr>
          <w:rFonts w:ascii="Arial" w:cs="Arial" w:eastAsia="Arial" w:hAnsi="Arial"/>
          <w:color w:val="111827"/>
          <w:sz w:val="22"/>
          <w:szCs w:val="22"/>
        </w:rPr>
        <w:t xml:space="preserve">Institutions can upload a custom certificate template with their own branding, logo, and signatory fields</w:t>
      </w:r>
    </w:p>
    <w:p>
      <w:pPr>
        <w:pStyle w:val="ListParagraph"/>
        <w:numPr>
          <w:ilvl w:val="0"/>
          <w:numId w:val="2"/>
        </w:numPr>
        <w:spacing w:after="40" w:before="40"/>
      </w:pPr>
      <w:r>
        <w:rPr>
          <w:rFonts w:ascii="Arial" w:cs="Arial" w:eastAsia="Arial" w:hAnsi="Arial"/>
          <w:color w:val="111827"/>
          <w:sz w:val="22"/>
          <w:szCs w:val="22"/>
        </w:rPr>
        <w:t xml:space="preserve">Creators on the quarterly or marketplace route can issue certificates, but without custom templates unless specifically enabled</w:t>
      </w:r>
    </w:p>
    <w:p>
      <w:pPr>
        <w:pStyle w:val="ListParagraph"/>
        <w:numPr>
          <w:ilvl w:val="0"/>
          <w:numId w:val="2"/>
        </w:numPr>
        <w:spacing w:after="40" w:before="40"/>
      </w:pPr>
      <w:r>
        <w:rPr>
          <w:rFonts w:ascii="Arial" w:cs="Arial" w:eastAsia="Arial" w:hAnsi="Arial"/>
          <w:color w:val="111827"/>
          <w:sz w:val="22"/>
          <w:szCs w:val="22"/>
        </w:rPr>
        <w:t xml:space="preserve">Certificate design and issuance logic needs to be defined: does Sphere auto-generate? Is there a Sphere-branded default template?</w:t>
      </w:r>
    </w:p>
    <w:p>
      <w:pPr>
        <w:pStyle w:val="ListParagraph"/>
        <w:numPr>
          <w:ilvl w:val="0"/>
          <w:numId w:val="2"/>
        </w:numPr>
        <w:spacing w:after="40" w:before="40"/>
      </w:pPr>
      <w:r>
        <w:rPr>
          <w:rFonts w:ascii="Arial" w:cs="Arial" w:eastAsia="Arial" w:hAnsi="Arial"/>
          <w:color w:val="111827"/>
          <w:sz w:val="22"/>
          <w:szCs w:val="22"/>
        </w:rPr>
        <w:t xml:space="preserve">The link between certificates and the marketplace: does purchasing a resource entitle the buyer to a certificate, or only completing it?</w:t>
      </w:r>
    </w:p>
    <w:p>
      <w:pPr>
        <w:spacing w:after="80" w:before="80"/>
      </w:pPr>
      <w:r>
        <w:t xml:space="preserve"/>
      </w:r>
    </w:p>
    <w:p>
      <w:pPr>
        <w:pageBreakBefore/>
      </w:pPr>
      <w:r>
        <w:t xml:space="preserve"/>
      </w:r>
    </w:p>
    <w:p>
      <w:pPr>
        <w:pStyle w:val="Heading1"/>
        <w:spacing w:after="120" w:before="360"/>
      </w:pPr>
      <w:r>
        <w:rPr>
          <w:rFonts w:ascii="Arial" w:cs="Arial" w:eastAsia="Arial" w:hAnsi="Arial"/>
          <w:b/>
          <w:bCs/>
          <w:color w:val="0C1021"/>
          <w:sz w:val="32"/>
          <w:szCs w:val="32"/>
        </w:rPr>
        <w:t xml:space="preserve">10. AI Add-ons</w:t>
      </w:r>
    </w:p>
    <w:p>
      <w:pPr>
        <w:spacing w:after="100" w:before="60"/>
      </w:pPr>
      <w:r>
        <w:rPr>
          <w:rFonts w:ascii="Arial" w:cs="Arial" w:eastAsia="Arial" w:hAnsi="Arial"/>
          <w:color w:val="111827"/>
          <w:sz w:val="22"/>
          <w:szCs w:val="22"/>
        </w:rPr>
        <w:t xml:space="preserve">Collins identified a critical usability risk called the blank screen problem: a user who has the creation tools but does not know what to create, or does not have the time or skill to build quality content from scratch. AI add-ons address this directly. They are not part of any base subscription. They are purchasable enhancements that any user on any tier can add to their account.</w:t>
      </w:r>
    </w:p>
    <w:p>
      <w:pPr>
        <w:spacing w:after="100" w:before="60"/>
      </w:pPr>
      <w:r>
        <w:rPr>
          <w:rFonts w:ascii="Arial" w:cs="Arial" w:eastAsia="Arial" w:hAnsi="Arial"/>
          <w:color w:val="111827"/>
          <w:sz w:val="22"/>
          <w:szCs w:val="22"/>
        </w:rPr>
        <w:t xml:space="preserve">The design principle for all AI add-ons is simplicity. Sphere is not a complex solution, and the AI tools must reflect that. Inputs should be clean, minimal, and accessible to a non-technical user. Outputs should be usable with little or no editing.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DDDDDD" w:sz="1"/>
              <w:left w:val="single" w:color="DDDDDD" w:sz="1"/>
              <w:bottom w:val="single" w:color="DDDDDD" w:sz="1"/>
              <w:right w:val="single" w:color="DDDDDD" w:sz="1"/>
            </w:tcBorders>
            <w:shd w:fill="0C1021" w:val="clear"/>
            <w:tcMar>
              <w:top w:type="dxa" w:w="80"/>
              <w:left w:type="dxa" w:w="140"/>
              <w:bottom w:type="dxa" w:w="80"/>
              <w:right w:type="dxa" w:w="120"/>
            </w:tcMar>
          </w:tcPr>
          <w:p>
            <w:r>
              <w:rPr>
                <w:rFonts w:ascii="Arial" w:cs="Arial" w:eastAsia="Arial" w:hAnsi="Arial"/>
                <w:b/>
                <w:bCs/>
                <w:color w:val="FFFFFF"/>
                <w:sz w:val="20"/>
                <w:szCs w:val="20"/>
              </w:rPr>
              <w:t xml:space="preserve">Add-on</w:t>
            </w:r>
          </w:p>
        </w:tc>
        <w:tc>
          <w:tcPr>
            <w:tcW w:type="dxa" w:w="4200"/>
            <w:tcBorders>
              <w:top w:val="single" w:color="DDDDDD" w:sz="1"/>
              <w:left w:val="single" w:color="DDDDDD" w:sz="1"/>
              <w:bottom w:val="single" w:color="DDDDDD" w:sz="1"/>
              <w:right w:val="single" w:color="DDDDDD" w:sz="1"/>
            </w:tcBorders>
            <w:shd w:fill="0C1021" w:val="clear"/>
            <w:tcMar>
              <w:top w:type="dxa" w:w="80"/>
              <w:left w:type="dxa" w:w="140"/>
              <w:bottom w:type="dxa" w:w="80"/>
              <w:right w:type="dxa" w:w="120"/>
            </w:tcMar>
          </w:tcPr>
          <w:p>
            <w:r>
              <w:rPr>
                <w:rFonts w:ascii="Arial" w:cs="Arial" w:eastAsia="Arial" w:hAnsi="Arial"/>
                <w:b/>
                <w:bCs/>
                <w:color w:val="FFFFFF"/>
                <w:sz w:val="20"/>
                <w:szCs w:val="20"/>
              </w:rPr>
              <w:t xml:space="preserve">What It Does</w:t>
            </w:r>
          </w:p>
        </w:tc>
        <w:tc>
          <w:tcPr>
            <w:tcW w:type="dxa" w:w="2760"/>
            <w:tcBorders>
              <w:top w:val="single" w:color="DDDDDD" w:sz="1"/>
              <w:left w:val="single" w:color="DDDDDD" w:sz="1"/>
              <w:bottom w:val="single" w:color="DDDDDD" w:sz="1"/>
              <w:right w:val="single" w:color="DDDDDD" w:sz="1"/>
            </w:tcBorders>
            <w:shd w:fill="0C1021" w:val="clear"/>
            <w:tcMar>
              <w:top w:type="dxa" w:w="80"/>
              <w:left w:type="dxa" w:w="140"/>
              <w:bottom w:type="dxa" w:w="80"/>
              <w:right w:type="dxa" w:w="120"/>
            </w:tcMar>
          </w:tcPr>
          <w:p>
            <w:r>
              <w:rPr>
                <w:rFonts w:ascii="Arial" w:cs="Arial" w:eastAsia="Arial" w:hAnsi="Arial"/>
                <w:b/>
                <w:bCs/>
                <w:color w:val="FFFFFF"/>
                <w:sz w:val="20"/>
                <w:szCs w:val="20"/>
              </w:rPr>
              <w:t xml:space="preserve">Primary Use</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b/>
                <w:bCs/>
                <w:color w:val="D97010"/>
                <w:sz w:val="18"/>
                <w:szCs w:val="18"/>
              </w:rPr>
              <w:t xml:space="preserve">AI Course Builder</w:t>
            </w:r>
          </w:p>
        </w:tc>
        <w:tc>
          <w:tcPr>
            <w:tcW w:type="dxa" w:w="4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color w:val="111827"/>
                <w:sz w:val="18"/>
                <w:szCs w:val="18"/>
              </w:rPr>
              <w:t xml:space="preserve">Generates a full course outline, module structure, and lesson content from a single topic prompt. The user provides the subject and target level. The AI produces a structured, ready-to-publish course.</w:t>
            </w:r>
          </w:p>
        </w:tc>
        <w:tc>
          <w:tcPr>
            <w:tcW w:type="dxa" w:w="2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color w:val="6B6870"/>
                <w:sz w:val="18"/>
                <w:szCs w:val="18"/>
              </w:rPr>
              <w:t xml:space="preserve">Learn module creators, institutions building training curricula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D97010"/>
                <w:sz w:val="18"/>
                <w:szCs w:val="18"/>
              </w:rPr>
              <w:t xml:space="preserve">AI Assessment Builder</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11827"/>
                <w:sz w:val="18"/>
                <w:szCs w:val="18"/>
              </w:rPr>
              <w:t xml:space="preserve">Generates a full exam or quiz from a topic, subject, or uploaded document. Includes questions, answer options, correct answers, and mark allocations.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6B6870"/>
                <w:sz w:val="18"/>
                <w:szCs w:val="18"/>
              </w:rPr>
              <w:t xml:space="preserve">Assess module users, teachers building tests quickly</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b/>
                <w:bCs/>
                <w:color w:val="D97010"/>
                <w:sz w:val="18"/>
                <w:szCs w:val="18"/>
              </w:rPr>
              <w:t xml:space="preserve">AI Engagement Builder</w:t>
            </w:r>
          </w:p>
        </w:tc>
        <w:tc>
          <w:tcPr>
            <w:tcW w:type="dxa" w:w="4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color w:val="111827"/>
                <w:sz w:val="18"/>
                <w:szCs w:val="18"/>
              </w:rPr>
              <w:t xml:space="preserve">Creates a full Engage live session including questions, game format, and timing from a topic prompt.</w:t>
            </w:r>
          </w:p>
        </w:tc>
        <w:tc>
          <w:tcPr>
            <w:tcW w:type="dxa" w:w="2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color w:val="6B6870"/>
                <w:sz w:val="18"/>
                <w:szCs w:val="18"/>
              </w:rPr>
              <w:t xml:space="preserve">Engage module users running live sessions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D97010"/>
                <w:sz w:val="18"/>
                <w:szCs w:val="18"/>
              </w:rPr>
              <w:t xml:space="preserve">AI Training Builder</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11827"/>
                <w:sz w:val="18"/>
                <w:szCs w:val="18"/>
              </w:rPr>
              <w:t xml:space="preserve">Generates a full compliance or skills training path from a job role, competency, or policy document prompt.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6B6870"/>
                <w:sz w:val="18"/>
                <w:szCs w:val="18"/>
              </w:rPr>
              <w:t xml:space="preserve">Corporate HR teams, Training module users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b/>
                <w:bCs/>
                <w:color w:val="D97010"/>
                <w:sz w:val="18"/>
                <w:szCs w:val="18"/>
              </w:rPr>
              <w:t xml:space="preserve">AI Hint Creator</w:t>
            </w:r>
          </w:p>
        </w:tc>
        <w:tc>
          <w:tcPr>
            <w:tcW w:type="dxa" w:w="42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color w:val="111827"/>
                <w:sz w:val="18"/>
                <w:szCs w:val="18"/>
              </w:rPr>
              <w:t xml:space="preserve">For Assess resources, generates contextual hints that guide a student toward the correct answer without giving it away. Attached per question.</w:t>
            </w:r>
          </w:p>
        </w:tc>
        <w:tc>
          <w:tcPr>
            <w:tcW w:type="dxa" w:w="276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20"/>
            </w:tcMar>
          </w:tcPr>
          <w:p>
            <w:r>
              <w:rPr>
                <w:rFonts w:ascii="Arial" w:cs="Arial" w:eastAsia="Arial" w:hAnsi="Arial"/>
                <w:color w:val="6B6870"/>
                <w:sz w:val="18"/>
                <w:szCs w:val="18"/>
              </w:rPr>
              <w:t xml:space="preserve">Any Assess resource creator wanting to add learning scaffolding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b/>
                <w:bCs/>
                <w:color w:val="D97010"/>
                <w:sz w:val="18"/>
                <w:szCs w:val="18"/>
              </w:rPr>
              <w:t xml:space="preserve">AI Explanation Engine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111827"/>
                <w:sz w:val="18"/>
                <w:szCs w:val="18"/>
              </w:rPr>
              <w:t xml:space="preserve">Generates detailed, plain-language explanations for each question or concept in an Assess or Learn resource. Surfaces after a student answers, to deepen understanding.</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6B6870"/>
                <w:sz w:val="18"/>
                <w:szCs w:val="18"/>
              </w:rPr>
              <w:t xml:space="preserve">Assess and Learn module creators focused on learning outcomes, not just testing</w:t>
            </w:r>
          </w:p>
        </w:tc>
      </w:tr>
    </w:tbl>
    <w:p>
      <w:pPr>
        <w:spacing w:after="80" w:before="80"/>
      </w:pPr>
      <w:r>
        <w:t xml:space="preserve"/>
      </w:r>
    </w:p>
    <w:p>
      <w:pPr>
        <w:pStyle w:val="Heading1"/>
        <w:spacing w:after="120" w:before="360"/>
      </w:pPr>
      <w:r>
        <w:rPr>
          <w:rFonts w:ascii="Arial" w:cs="Arial" w:eastAsia="Arial" w:hAnsi="Arial"/>
          <w:b/>
          <w:bCs/>
          <w:color w:val="0C1021"/>
          <w:sz w:val="32"/>
          <w:szCs w:val="32"/>
        </w:rPr>
        <w:t xml:space="preserve">11. Revenue Architecture</w:t>
      </w:r>
    </w:p>
    <w:p>
      <w:pPr>
        <w:spacing w:after="100" w:before="60"/>
      </w:pPr>
      <w:r>
        <w:rPr>
          <w:rFonts w:ascii="Arial" w:cs="Arial" w:eastAsia="Arial" w:hAnsi="Arial"/>
          <w:color w:val="111827"/>
          <w:sz w:val="22"/>
          <w:szCs w:val="22"/>
        </w:rPr>
        <w:t xml:space="preserve">SphereSDS has multiple revenue streams, which is by design. Dependence on a single revenue type creates fragility. The current vision supports the following commercial flows:</w:t>
      </w:r>
    </w:p>
    <w:p>
      <w:pPr>
        <w:spacing w:after="80" w:before="80"/>
      </w:pPr>
      <w:r>
        <w:t xml:space="preserve"/>
      </w:r>
    </w:p>
    <w:p>
      <w:pPr>
        <w:pStyle w:val="ListParagraph"/>
        <w:numPr>
          <w:ilvl w:val="0"/>
          <w:numId w:val="2"/>
        </w:numPr>
        <w:spacing w:after="40" w:before="40"/>
      </w:pPr>
      <w:r>
        <w:rPr>
          <w:rFonts w:ascii="Arial" w:cs="Arial" w:eastAsia="Arial" w:hAnsi="Arial"/>
          <w:b/>
          <w:bCs/>
          <w:color w:val="111827"/>
          <w:sz w:val="22"/>
          <w:szCs w:val="22"/>
        </w:rPr>
        <w:t xml:space="preserve">Creator Quarterly (GHS 300/quarter) and Institution (pricing to be defined) are the core recurring revenue streams. </w:t>
      </w:r>
      <w:r>
        <w:rPr>
          <w:rFonts w:ascii="Arial" w:cs="Arial" w:eastAsia="Arial" w:hAnsi="Arial"/>
          <w:color w:val="111827"/>
          <w:sz w:val="22"/>
          <w:szCs w:val="22"/>
        </w:rPr>
        <w:t xml:space="preserve">Subscriptions</w:t>
      </w:r>
    </w:p>
    <w:p>
      <w:pPr>
        <w:pStyle w:val="ListParagraph"/>
        <w:numPr>
          <w:ilvl w:val="0"/>
          <w:numId w:val="2"/>
        </w:numPr>
        <w:spacing w:after="40" w:before="40"/>
      </w:pPr>
      <w:r>
        <w:rPr>
          <w:rFonts w:ascii="Arial" w:cs="Arial" w:eastAsia="Arial" w:hAnsi="Arial"/>
          <w:b/>
          <w:bCs/>
          <w:color w:val="111827"/>
          <w:sz w:val="22"/>
          <w:szCs w:val="22"/>
        </w:rPr>
        <w:t xml:space="preserve">SphereSDS takes a percentage of every resource sale on the marketplace. Applies to both Creator Quarterly and Creator Marketplace accounts. </w:t>
      </w:r>
      <w:r>
        <w:rPr>
          <w:rFonts w:ascii="Arial" w:cs="Arial" w:eastAsia="Arial" w:hAnsi="Arial"/>
          <w:color w:val="111827"/>
          <w:sz w:val="22"/>
          <w:szCs w:val="22"/>
        </w:rPr>
        <w:t xml:space="preserve">Marketplace commission</w:t>
      </w:r>
    </w:p>
    <w:p>
      <w:pPr>
        <w:pStyle w:val="ListParagraph"/>
        <w:numPr>
          <w:ilvl w:val="0"/>
          <w:numId w:val="2"/>
        </w:numPr>
        <w:spacing w:after="40" w:before="40"/>
      </w:pPr>
      <w:r>
        <w:rPr>
          <w:rFonts w:ascii="Arial" w:cs="Arial" w:eastAsia="Arial" w:hAnsi="Arial"/>
          <w:b/>
          <w:bCs/>
          <w:color w:val="111827"/>
          <w:sz w:val="22"/>
          <w:szCs w:val="22"/>
        </w:rPr>
        <w:t xml:space="preserve">Institutions with more than 100 students per session are billed per additional student above the cap. Scales with institutional growth. </w:t>
      </w:r>
      <w:r>
        <w:rPr>
          <w:rFonts w:ascii="Arial" w:cs="Arial" w:eastAsia="Arial" w:hAnsi="Arial"/>
          <w:color w:val="111827"/>
          <w:sz w:val="22"/>
          <w:szCs w:val="22"/>
        </w:rPr>
        <w:t xml:space="preserve">Per-head student pricing</w:t>
      </w:r>
    </w:p>
    <w:p>
      <w:pPr>
        <w:pStyle w:val="ListParagraph"/>
        <w:numPr>
          <w:ilvl w:val="0"/>
          <w:numId w:val="2"/>
        </w:numPr>
        <w:spacing w:after="40" w:before="40"/>
      </w:pPr>
      <w:r>
        <w:rPr>
          <w:rFonts w:ascii="Arial" w:cs="Arial" w:eastAsia="Arial" w:hAnsi="Arial"/>
          <w:b/>
          <w:bCs/>
          <w:color w:val="111827"/>
          <w:sz w:val="22"/>
          <w:szCs w:val="22"/>
        </w:rPr>
        <w:t xml:space="preserve">Each AI tool (Course Builder, Assessment Builder, Hint Creator, etc.) is a separately purchased add-on, available to any tier. </w:t>
      </w:r>
      <w:r>
        <w:rPr>
          <w:rFonts w:ascii="Arial" w:cs="Arial" w:eastAsia="Arial" w:hAnsi="Arial"/>
          <w:color w:val="111827"/>
          <w:sz w:val="22"/>
          <w:szCs w:val="22"/>
        </w:rPr>
        <w:t xml:space="preserve">AI add-on purchases</w:t>
      </w:r>
    </w:p>
    <w:p>
      <w:pPr>
        <w:pStyle w:val="ListParagraph"/>
        <w:numPr>
          <w:ilvl w:val="0"/>
          <w:numId w:val="2"/>
        </w:numPr>
        <w:spacing w:after="40" w:before="40"/>
      </w:pPr>
      <w:r>
        <w:rPr>
          <w:rFonts w:ascii="Arial" w:cs="Arial" w:eastAsia="Arial" w:hAnsi="Arial"/>
          <w:b/>
          <w:bCs/>
          <w:color w:val="111827"/>
          <w:sz w:val="22"/>
          <w:szCs w:val="22"/>
        </w:rPr>
        <w:t xml:space="preserve">Where Sphere staff help a creator produce marketplace content, a distinct and higher commission rate applies. Exact rates to be defined. </w:t>
      </w:r>
      <w:r>
        <w:rPr>
          <w:rFonts w:ascii="Arial" w:cs="Arial" w:eastAsia="Arial" w:hAnsi="Arial"/>
          <w:color w:val="111827"/>
          <w:sz w:val="22"/>
          <w:szCs w:val="22"/>
        </w:rPr>
        <w:t xml:space="preserve">SphereSDS-assisted content creation</w:t>
      </w:r>
    </w:p>
    <w:p>
      <w:pPr>
        <w:spacing w:after="100" w:before="60"/>
      </w:pPr>
      <w:r>
        <w:rPr>
          <w:rFonts w:ascii="Arial" w:cs="Arial" w:eastAsia="Arial" w:hAnsi="Arial"/>
          <w:color w:val="111827"/>
          <w:sz w:val="22"/>
          <w:szCs w:val="22"/>
        </w:rPr>
        <w:t xml:space="preserve">The combination of recurring subscription revenue (predictable), commission revenue (scales with marketplace activity), and add-on revenue (scales with user engagement) creates a diversified model where each stream reinforces the others.</w:t>
      </w:r>
    </w:p>
    <w:p>
      <w:pPr>
        <w:spacing w:after="80" w:before="80"/>
      </w:pPr>
      <w:r>
        <w:t xml:space="preserve"/>
      </w:r>
    </w:p>
    <w:p>
      <w:pPr>
        <w:pageBreakBefore/>
      </w:pPr>
      <w:r>
        <w:t xml:space="preserve"/>
      </w:r>
    </w:p>
    <w:p>
      <w:pPr>
        <w:pStyle w:val="Heading1"/>
        <w:spacing w:after="120" w:before="360"/>
      </w:pPr>
      <w:r>
        <w:rPr>
          <w:rFonts w:ascii="Arial" w:cs="Arial" w:eastAsia="Arial" w:hAnsi="Arial"/>
          <w:b/>
          <w:bCs/>
          <w:color w:val="0C1021"/>
          <w:sz w:val="32"/>
          <w:szCs w:val="32"/>
        </w:rPr>
        <w:t xml:space="preserve">12. Open Questions and Items to Resolve</w:t>
      </w:r>
    </w:p>
    <w:p>
      <w:pPr>
        <w:spacing w:after="100" w:before="60"/>
      </w:pPr>
      <w:r>
        <w:rPr>
          <w:rFonts w:ascii="Arial" w:cs="Arial" w:eastAsia="Arial" w:hAnsi="Arial"/>
          <w:color w:val="111827"/>
          <w:sz w:val="22"/>
          <w:szCs w:val="22"/>
        </w:rPr>
        <w:t xml:space="preserve">Collins explicitly flagged the following as areas requiring further brainstorming and definition before build decisions are made. These are not blockers to everything, but they are inputs to database structure, pricing pages, and user flows.</w:t>
      </w:r>
    </w:p>
    <w:p>
      <w:pPr>
        <w:spacing w:after="80" w:before="80"/>
      </w:pPr>
      <w:r>
        <w:t xml:space="preserve"/>
      </w:r>
    </w:p>
    <w:p>
      <w:pPr>
        <w:pStyle w:val="Heading3"/>
        <w:spacing w:after="60" w:before="200"/>
      </w:pPr>
      <w:r>
        <w:rPr>
          <w:rFonts w:ascii="Arial" w:cs="Arial" w:eastAsia="Arial" w:hAnsi="Arial"/>
          <w:b/>
          <w:bCs/>
          <w:color w:val="D97010"/>
          <w:sz w:val="22"/>
          <w:szCs w:val="22"/>
        </w:rPr>
        <w:t xml:space="preserve">Pricing and Limits</w:t>
      </w:r>
    </w:p>
    <w:p>
      <w:pPr>
        <w:pStyle w:val="ListParagraph"/>
        <w:numPr>
          <w:ilvl w:val="0"/>
          <w:numId w:val="2"/>
        </w:numPr>
        <w:spacing w:after="40" w:before="40"/>
      </w:pPr>
      <w:r>
        <w:rPr>
          <w:rFonts w:ascii="Arial" w:cs="Arial" w:eastAsia="Arial" w:hAnsi="Arial"/>
          <w:color w:val="111827"/>
          <w:sz w:val="22"/>
          <w:szCs w:val="22"/>
        </w:rPr>
        <w:t xml:space="preserve">Is the Membership creation limit (5 Assess, 5 Engage) per period (monthly, quarterly) or a one-time lifetime quota? This affects how aggressively users are pushed to upgrade.</w:t>
      </w:r>
    </w:p>
    <w:p>
      <w:pPr>
        <w:pStyle w:val="ListParagraph"/>
        <w:numPr>
          <w:ilvl w:val="0"/>
          <w:numId w:val="2"/>
        </w:numPr>
        <w:spacing w:after="40" w:before="40"/>
      </w:pPr>
      <w:r>
        <w:rPr>
          <w:rFonts w:ascii="Arial" w:cs="Arial" w:eastAsia="Arial" w:hAnsi="Arial"/>
          <w:color w:val="111827"/>
          <w:sz w:val="22"/>
          <w:szCs w:val="22"/>
        </w:rPr>
        <w:t xml:space="preserve">What is the exact GHS pricing for the Institution tier? Is it flat, per-seat, or per-module?</w:t>
      </w:r>
    </w:p>
    <w:p>
      <w:pPr>
        <w:pStyle w:val="ListParagraph"/>
        <w:numPr>
          <w:ilvl w:val="0"/>
          <w:numId w:val="2"/>
        </w:numPr>
        <w:spacing w:after="40" w:before="40"/>
      </w:pPr>
      <w:r>
        <w:rPr>
          <w:rFonts w:ascii="Arial" w:cs="Arial" w:eastAsia="Arial" w:hAnsi="Arial"/>
          <w:color w:val="111827"/>
          <w:sz w:val="22"/>
          <w:szCs w:val="22"/>
        </w:rPr>
        <w:t xml:space="preserve">What is the exact per-head price charged for students above 100 on the Institution tier?</w:t>
      </w:r>
    </w:p>
    <w:p>
      <w:pPr>
        <w:pStyle w:val="ListParagraph"/>
        <w:numPr>
          <w:ilvl w:val="0"/>
          <w:numId w:val="2"/>
        </w:numPr>
        <w:spacing w:after="40" w:before="40"/>
      </w:pPr>
      <w:r>
        <w:rPr>
          <w:rFonts w:ascii="Arial" w:cs="Arial" w:eastAsia="Arial" w:hAnsi="Arial"/>
          <w:color w:val="111827"/>
          <w:sz w:val="22"/>
          <w:szCs w:val="22"/>
        </w:rPr>
        <w:t xml:space="preserve">What is the Marketplace Creator commission rate for self-created resources?</w:t>
      </w:r>
    </w:p>
    <w:p>
      <w:pPr>
        <w:pStyle w:val="ListParagraph"/>
        <w:numPr>
          <w:ilvl w:val="0"/>
          <w:numId w:val="2"/>
        </w:numPr>
        <w:spacing w:after="40" w:before="40"/>
      </w:pPr>
      <w:r>
        <w:rPr>
          <w:rFonts w:ascii="Arial" w:cs="Arial" w:eastAsia="Arial" w:hAnsi="Arial"/>
          <w:color w:val="111827"/>
          <w:sz w:val="22"/>
          <w:szCs w:val="22"/>
        </w:rPr>
        <w:t xml:space="preserve">What is the commission rate for SphereSDS-assisted content creation?</w:t>
      </w:r>
    </w:p>
    <w:p>
      <w:pPr>
        <w:pStyle w:val="ListParagraph"/>
        <w:numPr>
          <w:ilvl w:val="0"/>
          <w:numId w:val="2"/>
        </w:numPr>
        <w:spacing w:after="40" w:before="40"/>
      </w:pPr>
      <w:r>
        <w:rPr>
          <w:rFonts w:ascii="Arial" w:cs="Arial" w:eastAsia="Arial" w:hAnsi="Arial"/>
          <w:color w:val="111827"/>
          <w:sz w:val="22"/>
          <w:szCs w:val="22"/>
        </w:rPr>
        <w:t xml:space="preserve">Should the Creator Marketplace free resource count toward the 10-creation minimum?</w:t>
      </w:r>
    </w:p>
    <w:p>
      <w:pPr>
        <w:pStyle w:val="ListParagraph"/>
        <w:numPr>
          <w:ilvl w:val="0"/>
          <w:numId w:val="2"/>
        </w:numPr>
        <w:spacing w:after="40" w:before="40"/>
      </w:pPr>
      <w:r>
        <w:rPr>
          <w:rFonts w:ascii="Arial" w:cs="Arial" w:eastAsia="Arial" w:hAnsi="Arial"/>
          <w:color w:val="111827"/>
          <w:sz w:val="22"/>
          <w:szCs w:val="22"/>
        </w:rPr>
        <w:t xml:space="preserve">What is the pricing for each individual AI add-on?</w:t>
      </w:r>
    </w:p>
    <w:p>
      <w:pPr>
        <w:spacing w:after="80" w:before="80"/>
      </w:pPr>
      <w:r>
        <w:t xml:space="preserve"/>
      </w:r>
    </w:p>
    <w:p>
      <w:pPr>
        <w:pStyle w:val="Heading3"/>
        <w:spacing w:after="60" w:before="200"/>
      </w:pPr>
      <w:r>
        <w:rPr>
          <w:rFonts w:ascii="Arial" w:cs="Arial" w:eastAsia="Arial" w:hAnsi="Arial"/>
          <w:b/>
          <w:bCs/>
          <w:color w:val="2E2886"/>
          <w:sz w:val="22"/>
          <w:szCs w:val="22"/>
        </w:rPr>
        <w:t xml:space="preserve">Marketplace Rules</w:t>
      </w:r>
    </w:p>
    <w:p>
      <w:pPr>
        <w:pStyle w:val="ListParagraph"/>
        <w:numPr>
          <w:ilvl w:val="0"/>
          <w:numId w:val="2"/>
        </w:numPr>
        <w:spacing w:after="40" w:before="40"/>
      </w:pPr>
      <w:r>
        <w:rPr>
          <w:rFonts w:ascii="Arial" w:cs="Arial" w:eastAsia="Arial" w:hAnsi="Arial"/>
          <w:color w:val="111827"/>
          <w:sz w:val="22"/>
          <w:szCs w:val="22"/>
        </w:rPr>
        <w:t xml:space="preserve">What triggers the 30-day clock for Marketplace Creators? Account creation date, or first resource published?</w:t>
      </w:r>
    </w:p>
    <w:p>
      <w:pPr>
        <w:pStyle w:val="ListParagraph"/>
        <w:numPr>
          <w:ilvl w:val="0"/>
          <w:numId w:val="2"/>
        </w:numPr>
        <w:spacing w:after="40" w:before="40"/>
      </w:pPr>
      <w:r>
        <w:rPr>
          <w:rFonts w:ascii="Arial" w:cs="Arial" w:eastAsia="Arial" w:hAnsi="Arial"/>
          <w:color w:val="111827"/>
          <w:sz w:val="22"/>
          <w:szCs w:val="22"/>
        </w:rPr>
        <w:t xml:space="preserve">When an account is suspended for inactivity, are existing listings taken down immediately or kept up with a grace period?</w:t>
      </w:r>
    </w:p>
    <w:p>
      <w:pPr>
        <w:pStyle w:val="ListParagraph"/>
        <w:numPr>
          <w:ilvl w:val="0"/>
          <w:numId w:val="2"/>
        </w:numPr>
        <w:spacing w:after="40" w:before="40"/>
      </w:pPr>
      <w:r>
        <w:rPr>
          <w:rFonts w:ascii="Arial" w:cs="Arial" w:eastAsia="Arial" w:hAnsi="Arial"/>
          <w:color w:val="111827"/>
          <w:sz w:val="22"/>
          <w:szCs w:val="22"/>
        </w:rPr>
        <w:t xml:space="preserve">Can a suspended Marketplace Creator reactivate, and if so, how?</w:t>
      </w:r>
    </w:p>
    <w:p>
      <w:pPr>
        <w:pStyle w:val="ListParagraph"/>
        <w:numPr>
          <w:ilvl w:val="0"/>
          <w:numId w:val="2"/>
        </w:numPr>
        <w:spacing w:after="40" w:before="40"/>
      </w:pPr>
      <w:r>
        <w:rPr>
          <w:rFonts w:ascii="Arial" w:cs="Arial" w:eastAsia="Arial" w:hAnsi="Arial"/>
          <w:color w:val="111827"/>
          <w:sz w:val="22"/>
          <w:szCs w:val="22"/>
        </w:rPr>
        <w:t xml:space="preserve">What subject and level tagging system will resources use for discoverability?</w:t>
      </w:r>
    </w:p>
    <w:p>
      <w:pPr>
        <w:spacing w:after="80" w:before="80"/>
      </w:pPr>
      <w:r>
        <w:t xml:space="preserve"/>
      </w:r>
    </w:p>
    <w:p>
      <w:pPr>
        <w:pStyle w:val="Heading3"/>
        <w:spacing w:after="60" w:before="200"/>
      </w:pPr>
      <w:r>
        <w:rPr>
          <w:rFonts w:ascii="Arial" w:cs="Arial" w:eastAsia="Arial" w:hAnsi="Arial"/>
          <w:b/>
          <w:bCs/>
          <w:color w:val="1A8966"/>
          <w:sz w:val="22"/>
          <w:szCs w:val="22"/>
        </w:rPr>
        <w:t xml:space="preserve">Certificates</w:t>
      </w:r>
    </w:p>
    <w:p>
      <w:pPr>
        <w:pStyle w:val="ListParagraph"/>
        <w:numPr>
          <w:ilvl w:val="0"/>
          <w:numId w:val="2"/>
        </w:numPr>
        <w:spacing w:after="40" w:before="40"/>
      </w:pPr>
      <w:r>
        <w:rPr>
          <w:rFonts w:ascii="Arial" w:cs="Arial" w:eastAsia="Arial" w:hAnsi="Arial"/>
          <w:color w:val="111827"/>
          <w:sz w:val="22"/>
          <w:szCs w:val="22"/>
        </w:rPr>
        <w:t xml:space="preserve">Which modules support certificate issuance? Assess only, or Learn and Train as well?</w:t>
      </w:r>
    </w:p>
    <w:p>
      <w:pPr>
        <w:pStyle w:val="ListParagraph"/>
        <w:numPr>
          <w:ilvl w:val="0"/>
          <w:numId w:val="2"/>
        </w:numPr>
        <w:spacing w:after="40" w:before="40"/>
      </w:pPr>
      <w:r>
        <w:rPr>
          <w:rFonts w:ascii="Arial" w:cs="Arial" w:eastAsia="Arial" w:hAnsi="Arial"/>
          <w:color w:val="111827"/>
          <w:sz w:val="22"/>
          <w:szCs w:val="22"/>
        </w:rPr>
        <w:t xml:space="preserve">Does purchasing a marketplace resource entitle the buyer to a certificate, or only completing it?</w:t>
      </w:r>
    </w:p>
    <w:p>
      <w:pPr>
        <w:pStyle w:val="ListParagraph"/>
        <w:numPr>
          <w:ilvl w:val="0"/>
          <w:numId w:val="2"/>
        </w:numPr>
        <w:spacing w:after="40" w:before="40"/>
      </w:pPr>
      <w:r>
        <w:rPr>
          <w:rFonts w:ascii="Arial" w:cs="Arial" w:eastAsia="Arial" w:hAnsi="Arial"/>
          <w:color w:val="111827"/>
          <w:sz w:val="22"/>
          <w:szCs w:val="22"/>
        </w:rPr>
        <w:t xml:space="preserve">Is there a default Sphere-branded certificate template for creators who do not upload their own?</w:t>
      </w:r>
    </w:p>
    <w:p>
      <w:pPr>
        <w:pStyle w:val="ListParagraph"/>
        <w:numPr>
          <w:ilvl w:val="0"/>
          <w:numId w:val="2"/>
        </w:numPr>
        <w:spacing w:after="40" w:before="40"/>
      </w:pPr>
      <w:r>
        <w:rPr>
          <w:rFonts w:ascii="Arial" w:cs="Arial" w:eastAsia="Arial" w:hAnsi="Arial"/>
          <w:color w:val="111827"/>
          <w:sz w:val="22"/>
          <w:szCs w:val="22"/>
        </w:rPr>
        <w:t xml:space="preserve">Do certificates need to be verifiable (unique URL, QR code)?</w:t>
      </w:r>
    </w:p>
    <w:p>
      <w:pPr>
        <w:spacing w:after="80" w:before="80"/>
      </w:pPr>
      <w:r>
        <w:t xml:space="preserve"/>
      </w:r>
    </w:p>
    <w:p>
      <w:pPr>
        <w:pStyle w:val="Heading3"/>
        <w:spacing w:after="60" w:before="200"/>
      </w:pPr>
      <w:r>
        <w:rPr>
          <w:rFonts w:ascii="Arial" w:cs="Arial" w:eastAsia="Arial" w:hAnsi="Arial"/>
          <w:b/>
          <w:bCs/>
          <w:color w:val="C23B2A"/>
          <w:sz w:val="22"/>
          <w:szCs w:val="22"/>
        </w:rPr>
        <w:t xml:space="preserve">Institution Onboarding</w:t>
      </w:r>
    </w:p>
    <w:p>
      <w:pPr>
        <w:pStyle w:val="ListParagraph"/>
        <w:numPr>
          <w:ilvl w:val="0"/>
          <w:numId w:val="2"/>
        </w:numPr>
        <w:spacing w:after="40" w:before="40"/>
      </w:pPr>
      <w:r>
        <w:rPr>
          <w:rFonts w:ascii="Arial" w:cs="Arial" w:eastAsia="Arial" w:hAnsi="Arial"/>
          <w:color w:val="111827"/>
          <w:sz w:val="22"/>
          <w:szCs w:val="22"/>
        </w:rPr>
        <w:t xml:space="preserve">Should Sphere allow an institution to have multiple institution types (e.g., a university that also runs a corporate training division)?</w:t>
      </w:r>
    </w:p>
    <w:p>
      <w:pPr>
        <w:pStyle w:val="ListParagraph"/>
        <w:numPr>
          <w:ilvl w:val="0"/>
          <w:numId w:val="2"/>
        </w:numPr>
        <w:spacing w:after="40" w:before="40"/>
      </w:pPr>
      <w:r>
        <w:rPr>
          <w:rFonts w:ascii="Arial" w:cs="Arial" w:eastAsia="Arial" w:hAnsi="Arial"/>
          <w:color w:val="111827"/>
          <w:sz w:val="22"/>
          <w:szCs w:val="22"/>
        </w:rPr>
        <w:t xml:space="preserve">Can an institution customise their levels beyond the seeded defaults, or is the seeded structure fixed?</w:t>
      </w:r>
    </w:p>
    <w:p>
      <w:pPr>
        <w:pStyle w:val="ListParagraph"/>
        <w:numPr>
          <w:ilvl w:val="0"/>
          <w:numId w:val="2"/>
        </w:numPr>
        <w:spacing w:after="40" w:before="40"/>
      </w:pPr>
      <w:r>
        <w:rPr>
          <w:rFonts w:ascii="Arial" w:cs="Arial" w:eastAsia="Arial" w:hAnsi="Arial"/>
          <w:color w:val="111827"/>
          <w:sz w:val="22"/>
          <w:szCs w:val="22"/>
        </w:rPr>
        <w:t xml:space="preserve">Is the academic calendar start month configurable per institution, or fixed per type?</w:t>
      </w:r>
    </w:p>
    <w:p>
      <w:pPr>
        <w:spacing w:after="80" w:before="80"/>
      </w:pPr>
      <w:r>
        <w:t xml:space="preserve"/>
      </w:r>
    </w:p>
    <w:p>
      <w:pPr>
        <w:pStyle w:val="Heading3"/>
        <w:spacing w:after="60" w:before="200"/>
      </w:pPr>
      <w:r>
        <w:rPr>
          <w:rFonts w:ascii="Arial" w:cs="Arial" w:eastAsia="Arial" w:hAnsi="Arial"/>
          <w:b/>
          <w:bCs/>
          <w:color w:val="6B6870"/>
          <w:sz w:val="22"/>
          <w:szCs w:val="22"/>
        </w:rPr>
        <w:t xml:space="preserve">User Journeys</w:t>
      </w:r>
    </w:p>
    <w:p>
      <w:pPr>
        <w:pStyle w:val="ListParagraph"/>
        <w:numPr>
          <w:ilvl w:val="0"/>
          <w:numId w:val="2"/>
        </w:numPr>
        <w:spacing w:after="40" w:before="40"/>
      </w:pPr>
      <w:r>
        <w:rPr>
          <w:rFonts w:ascii="Arial" w:cs="Arial" w:eastAsia="Arial" w:hAnsi="Arial"/>
          <w:color w:val="111827"/>
          <w:sz w:val="22"/>
          <w:szCs w:val="22"/>
        </w:rPr>
        <w:t xml:space="preserve">At what point in the Membership experience does the upsell messaging appear? Immediately on login, only when a quota limit is hit, or at a set interval?</w:t>
      </w:r>
    </w:p>
    <w:p>
      <w:pPr>
        <w:pStyle w:val="ListParagraph"/>
        <w:numPr>
          <w:ilvl w:val="0"/>
          <w:numId w:val="2"/>
        </w:numPr>
        <w:spacing w:after="40" w:before="40"/>
      </w:pPr>
      <w:r>
        <w:rPr>
          <w:rFonts w:ascii="Arial" w:cs="Arial" w:eastAsia="Arial" w:hAnsi="Arial"/>
          <w:color w:val="111827"/>
          <w:sz w:val="22"/>
          <w:szCs w:val="22"/>
        </w:rPr>
        <w:t xml:space="preserve">Can a user hold both a Creator and an Institution account, or are they mutually exclusive?</w:t>
      </w:r>
    </w:p>
    <w:p>
      <w:pPr>
        <w:pStyle w:val="ListParagraph"/>
        <w:numPr>
          <w:ilvl w:val="0"/>
          <w:numId w:val="2"/>
        </w:numPr>
        <w:spacing w:after="40" w:before="40"/>
      </w:pPr>
      <w:r>
        <w:rPr>
          <w:rFonts w:ascii="Arial" w:cs="Arial" w:eastAsia="Arial" w:hAnsi="Arial"/>
          <w:color w:val="111827"/>
          <w:sz w:val="22"/>
          <w:szCs w:val="22"/>
        </w:rPr>
        <w:t xml:space="preserve">For the SphereSDS-assisted content creation model: who initiates this? Does a creator request it, or does Sphere proactively offer it?</w:t>
      </w:r>
    </w:p>
    <w:p>
      <w:pPr>
        <w:spacing w:after="80" w:before="80"/>
      </w:pPr>
      <w:r>
        <w:t xml:space="preserve"/>
      </w:r>
    </w:p>
    <w:p>
      <w:pPr>
        <w:pBdr>
          <w:bottom w:val="single" w:color="D97010" w:sz="4" w:space="1"/>
        </w:pBdr>
        <w:spacing w:after="160" w:before="160"/>
      </w:pPr>
    </w:p>
    <w:p>
      <w:pPr>
        <w:spacing w:after="80" w:before="80"/>
      </w:pPr>
      <w:r>
        <w:t xml:space="preserve"/>
      </w:r>
    </w:p>
    <w:p>
      <w:pPr>
        <w:spacing w:after="80" w:before="80"/>
        <w:jc w:val="center"/>
      </w:pPr>
      <w:r>
        <w:rPr>
          <w:rFonts w:ascii="Arial" w:cs="Arial" w:eastAsia="Arial" w:hAnsi="Arial"/>
          <w:color w:val="6B6870"/>
          <w:sz w:val="18"/>
          <w:szCs w:val="18"/>
        </w:rPr>
        <w:t xml:space="preserve">SphereSDS Product Vision and Strategy Brief</w:t>
      </w:r>
    </w:p>
    <w:p>
      <w:pPr>
        <w:spacing w:after="0" w:before="0"/>
        <w:jc w:val="center"/>
      </w:pPr>
      <w:r>
        <w:rPr>
          <w:rFonts w:ascii="Arial" w:cs="Arial" w:eastAsia="Arial" w:hAnsi="Arial"/>
          <w:color w:val="6B6870"/>
          <w:sz w:val="16"/>
          <w:szCs w:val="16"/>
        </w:rPr>
        <w:t xml:space="preserve">Bold Vision MultiTech  ·  Accra, Ghana  ·  b-vm.com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center"/>
    </w:pPr>
    <w:r>
      <w:rPr>
        <w:rFonts w:ascii="Arial" w:cs="Arial" w:eastAsia="Arial" w:hAnsi="Arial"/>
        <w:color w:val="6B6870"/>
        <w:sz w:val="16"/>
        <w:szCs w:val="16"/>
      </w:rPr>
      <w:t xml:space="preserve">Bold Vision MultiTech  ·  Confidential  ·  Page </w:t>
    </w:r>
    <w:r>
      <w:rPr>
        <w:rFonts w:ascii="Arial" w:cs="Arial" w:eastAsia="Arial" w:hAnsi="Arial"/>
        <w:color w:val="6B68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pPr>
    <w:r>
      <w:rPr>
        <w:rFonts w:ascii="Arial" w:cs="Arial" w:eastAsia="Arial" w:hAnsi="Arial"/>
        <w:b/>
        <w:bCs/>
        <w:color w:val="0C1021"/>
        <w:sz w:val="18"/>
        <w:szCs w:val="18"/>
      </w:rPr>
      <w:t xml:space="preserve">SphereSDS</w:t>
    </w:r>
    <w:r>
      <w:rPr>
        <w:rFonts w:ascii="Arial" w:cs="Arial" w:eastAsia="Arial" w:hAnsi="Arial"/>
        <w:color w:val="6B6870"/>
        <w:sz w:val="18"/>
        <w:szCs w:val="18"/>
      </w:rPr>
      <w:t xml:space="preserve">  —  Product Vision and Strategy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Jc w:val="left"/>
      <w:pPr>
        <w:ind w:left="0" w:hanging="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C1021"/>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288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D9701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2026-07-02T00:32:00.598Z</dcterms:created>
  <dcterms:modified xsi:type="dcterms:W3CDTF">2026-07-02T00:32:00.599Z</dcterms:modified>
</cp:coreProperties>
</file>

<file path=docProps/custom.xml><?xml version="1.0" encoding="utf-8"?>
<Properties xmlns="http://schemas.openxmlformats.org/officeDocument/2006/custom-properties" xmlns:vt="http://schemas.openxmlformats.org/officeDocument/2006/docPropsVTypes"/>
</file>