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/>
          <w:color w:val="0F172A"/>
          <w:sz w:val="44"/>
        </w:rPr>
        <w:t>FIMS Flexible Compliance Implementation Roadmap</w:t>
      </w:r>
    </w:p>
    <w:p>
      <w:pPr>
        <w:spacing w:after="400"/>
        <w:jc w:val="center"/>
      </w:pPr>
      <w:r>
        <w:rPr>
          <w:rFonts w:ascii="Arial" w:hAnsi="Arial"/>
          <w:i/>
          <w:color w:val="334155"/>
          <w:sz w:val="22"/>
        </w:rPr>
        <w:t>Adaptive Milestone Framework &amp; Variable Velocity Pacing (8 – 14 Weeks)</w:t>
      </w:r>
    </w:p>
    <w:p>
      <w:pPr>
        <w:spacing w:after="120"/>
      </w:pPr>
    </w:p>
    <w:p>
      <w:pPr>
        <w:keepNext/>
        <w:spacing w:before="360" w:after="120"/>
      </w:pPr>
      <w:r>
        <w:rPr>
          <w:rFonts w:ascii="Arial" w:hAnsi="Arial"/>
          <w:b/>
          <w:color w:val="1E3A8A"/>
          <w:sz w:val="32"/>
        </w:rPr>
        <w:t>1. Executive Summary &amp; Flexible Strategy</w:t>
      </w:r>
    </w:p>
    <w:p>
      <w:pPr>
        <w:spacing w:after="200"/>
      </w:pPr>
      <w:r>
        <w:t>This flexible implementation roadmap establishes an adaptive, phased delivery schedule for FIMS compliance features. Rather than forcing a single rigid timeline, it accommodates different resource capacities (1 vs. 2 engineers) and allows organizations to prioritize compliance tracks based on target market requirements (e.g., Fast-Tracking PCI DSS for retail, or postponing SWIFT CSP until banking customer onboarding).</w:t>
      </w:r>
    </w:p>
    <w:p>
      <w:pPr>
        <w:keepNext/>
        <w:spacing w:before="280" w:after="80"/>
      </w:pPr>
      <w:r>
        <w:rPr>
          <w:rFonts w:ascii="Arial" w:hAnsi="Arial"/>
          <w:b/>
          <w:color w:val="2563EB"/>
          <w:sz w:val="26"/>
        </w:rPr>
        <w:t>Flexible Compliance Deployment Tracks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04"/>
            <w:shd w:fill="0F172A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Track Tier</w:t>
            </w:r>
          </w:p>
        </w:tc>
        <w:tc>
          <w:tcPr>
            <w:tcW w:type="dxa" w:w="2592"/>
            <w:shd w:fill="0F172A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Target Environment</w:t>
            </w:r>
          </w:p>
        </w:tc>
        <w:tc>
          <w:tcPr>
            <w:tcW w:type="dxa" w:w="1728"/>
            <w:shd w:fill="0F172A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Flexible Window</w:t>
            </w:r>
          </w:p>
        </w:tc>
        <w:tc>
          <w:tcPr>
            <w:tcW w:type="dxa" w:w="3168"/>
            <w:shd w:fill="0F172A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Key Deliverables Included</w:t>
            </w:r>
          </w:p>
        </w:tc>
      </w:tr>
      <w:tr>
        <w:tc>
          <w:tcPr>
            <w:tcW w:type="dxa" w:w="2304"/>
            <w:shd w:fill="F8FAFC"/>
          </w:tcPr>
          <w:p>
            <w:r>
              <w:rPr>
                <w:rFonts w:ascii="Arial" w:hAnsi="Arial"/>
                <w:color w:val="334155"/>
                <w:sz w:val="18"/>
              </w:rPr>
              <w:t>Track A: Core Hardening</w:t>
            </w:r>
          </w:p>
        </w:tc>
        <w:tc>
          <w:tcPr>
            <w:tcW w:type="dxa" w:w="2592"/>
            <w:shd w:fill="F8FAFC"/>
          </w:tcPr>
          <w:p>
            <w:r>
              <w:rPr>
                <w:rFonts w:ascii="Arial" w:hAnsi="Arial"/>
                <w:color w:val="334155"/>
                <w:sz w:val="18"/>
              </w:rPr>
              <w:t>Internal Staging &amp; Lab Testing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Arial" w:hAnsi="Arial"/>
                <w:color w:val="334155"/>
                <w:sz w:val="18"/>
              </w:rPr>
              <w:t>Weeks 1 – 3</w:t>
            </w:r>
          </w:p>
        </w:tc>
        <w:tc>
          <w:tcPr>
            <w:tcW w:type="dxa" w:w="3168"/>
            <w:shd w:fill="F8FAFC"/>
          </w:tcPr>
          <w:p>
            <w:r>
              <w:rPr>
                <w:rFonts w:ascii="Arial" w:hAnsi="Arial"/>
                <w:color w:val="334155"/>
                <w:sz w:val="18"/>
              </w:rPr>
              <w:t>JWT/RBAC Auth, AES-256 DPAPI Encryption, HMAC Signed Logs, TLS</w:t>
            </w:r>
          </w:p>
        </w:tc>
      </w:tr>
      <w:tr>
        <w:tc>
          <w:tcPr>
            <w:tcW w:type="dxa" w:w="2304"/>
            <w:shd w:fill="FFFFFF"/>
          </w:tcPr>
          <w:p>
            <w:r>
              <w:rPr>
                <w:rFonts w:ascii="Arial" w:hAnsi="Arial"/>
                <w:color w:val="334155"/>
                <w:sz w:val="18"/>
              </w:rPr>
              <w:t>Track B: Commercial Suite</w:t>
            </w:r>
          </w:p>
        </w:tc>
        <w:tc>
          <w:tcPr>
            <w:tcW w:type="dxa" w:w="2592"/>
            <w:shd w:fill="FFFFFF"/>
          </w:tcPr>
          <w:p>
            <w:r>
              <w:rPr>
                <w:rFonts w:ascii="Arial" w:hAnsi="Arial"/>
                <w:color w:val="334155"/>
                <w:sz w:val="18"/>
              </w:rPr>
              <w:t>Enterprise SaaS &amp; PCI DSS Retail</w:t>
            </w:r>
          </w:p>
        </w:tc>
        <w:tc>
          <w:tcPr>
            <w:tcW w:type="dxa" w:w="1728"/>
            <w:shd w:fill="FFFFFF"/>
          </w:tcPr>
          <w:p>
            <w:r>
              <w:rPr>
                <w:rFonts w:ascii="Arial" w:hAnsi="Arial"/>
                <w:color w:val="334155"/>
                <w:sz w:val="18"/>
              </w:rPr>
              <w:t>Weeks 4 – 8</w:t>
            </w:r>
          </w:p>
        </w:tc>
        <w:tc>
          <w:tcPr>
            <w:tcW w:type="dxa" w:w="3168"/>
            <w:shd w:fill="FFFFFF"/>
          </w:tcPr>
          <w:p>
            <w:r>
              <w:rPr>
                <w:rFonts w:ascii="Arial" w:hAnsi="Arial"/>
                <w:color w:val="334155"/>
                <w:sz w:val="18"/>
              </w:rPr>
              <w:t>Kernel Real-time Watcher, User SID Attribution, SIEM Exporter, Compliance UI</w:t>
            </w:r>
          </w:p>
        </w:tc>
      </w:tr>
      <w:tr>
        <w:tc>
          <w:tcPr>
            <w:tcW w:type="dxa" w:w="2304"/>
            <w:shd w:fill="F8FAFC"/>
          </w:tcPr>
          <w:p>
            <w:r>
              <w:rPr>
                <w:rFonts w:ascii="Arial" w:hAnsi="Arial"/>
                <w:color w:val="334155"/>
                <w:sz w:val="18"/>
              </w:rPr>
              <w:t>Track C: Financial Suite</w:t>
            </w:r>
          </w:p>
        </w:tc>
        <w:tc>
          <w:tcPr>
            <w:tcW w:type="dxa" w:w="2592"/>
            <w:shd w:fill="F8FAFC"/>
          </w:tcPr>
          <w:p>
            <w:r>
              <w:rPr>
                <w:rFonts w:ascii="Arial" w:hAnsi="Arial"/>
                <w:color w:val="334155"/>
                <w:sz w:val="18"/>
              </w:rPr>
              <w:t>Tier-1 Banks &amp; SWIFT Gateways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Arial" w:hAnsi="Arial"/>
                <w:color w:val="334155"/>
                <w:sz w:val="18"/>
              </w:rPr>
              <w:t>Weeks 9 – 12</w:t>
            </w:r>
          </w:p>
        </w:tc>
        <w:tc>
          <w:tcPr>
            <w:tcW w:type="dxa" w:w="3168"/>
            <w:shd w:fill="F8FAFC"/>
          </w:tcPr>
          <w:p>
            <w:r>
              <w:rPr>
                <w:rFonts w:ascii="Arial" w:hAnsi="Arial"/>
                <w:color w:val="334155"/>
                <w:sz w:val="18"/>
              </w:rPr>
              <w:t>SWIFT SAG Discovery, Live DB Schema Hooks, Watchdog Heartbeat, Signed PDFs</w:t>
            </w:r>
          </w:p>
        </w:tc>
      </w:tr>
    </w:tbl>
    <w:p>
      <w:pPr>
        <w:spacing w:after="240"/>
      </w:pPr>
    </w:p>
    <w:p>
      <w:pPr>
        <w:keepNext/>
        <w:spacing w:before="280" w:after="80"/>
      </w:pPr>
      <w:r>
        <w:rPr>
          <w:rFonts w:ascii="Arial" w:hAnsi="Arial"/>
          <w:b/>
          <w:color w:val="2563EB"/>
          <w:sz w:val="26"/>
        </w:rPr>
        <w:t>Resource Pacing &amp; Velocity Options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fill="1E3A8A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Engineering Capacity</w:t>
            </w:r>
          </w:p>
        </w:tc>
        <w:tc>
          <w:tcPr>
            <w:tcW w:type="dxa" w:w="2016"/>
            <w:shd w:fill="1E3A8A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Weekly Commitment</w:t>
            </w:r>
          </w:p>
        </w:tc>
        <w:tc>
          <w:tcPr>
            <w:tcW w:type="dxa" w:w="2016"/>
            <w:shd w:fill="1E3A8A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Full Suite Duration</w:t>
            </w:r>
          </w:p>
        </w:tc>
        <w:tc>
          <w:tcPr>
            <w:tcW w:type="dxa" w:w="2736"/>
            <w:shd w:fill="1E3A8A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Risk &amp; Flexibility Profile</w:t>
            </w:r>
          </w:p>
        </w:tc>
      </w:tr>
      <w:tr>
        <w:tc>
          <w:tcPr>
            <w:tcW w:type="dxa" w:w="2592"/>
            <w:shd w:fill="F8FAFC"/>
          </w:tcPr>
          <w:p>
            <w:r>
              <w:rPr>
                <w:rFonts w:ascii="Arial" w:hAnsi="Arial"/>
                <w:color w:val="334155"/>
                <w:sz w:val="18"/>
              </w:rPr>
              <w:t>Accelerated (2 FTE)</w:t>
            </w:r>
          </w:p>
        </w:tc>
        <w:tc>
          <w:tcPr>
            <w:tcW w:type="dxa" w:w="2016"/>
            <w:shd w:fill="F8FAFC"/>
          </w:tcPr>
          <w:p>
            <w:r>
              <w:rPr>
                <w:rFonts w:ascii="Arial" w:hAnsi="Arial"/>
                <w:color w:val="334155"/>
                <w:sz w:val="18"/>
              </w:rPr>
              <w:t>80 Hours / Week</w:t>
            </w:r>
          </w:p>
        </w:tc>
        <w:tc>
          <w:tcPr>
            <w:tcW w:type="dxa" w:w="2016"/>
            <w:shd w:fill="F8FAFC"/>
          </w:tcPr>
          <w:p>
            <w:r>
              <w:rPr>
                <w:rFonts w:ascii="Arial" w:hAnsi="Arial"/>
                <w:color w:val="334155"/>
                <w:sz w:val="18"/>
              </w:rPr>
              <w:t>8 Weeks (Fast)</w:t>
            </w:r>
          </w:p>
        </w:tc>
        <w:tc>
          <w:tcPr>
            <w:tcW w:type="dxa" w:w="2736"/>
            <w:shd w:fill="F8FAFC"/>
          </w:tcPr>
          <w:p>
            <w:r>
              <w:rPr>
                <w:rFonts w:ascii="Arial" w:hAnsi="Arial"/>
                <w:color w:val="334155"/>
                <w:sz w:val="18"/>
              </w:rPr>
              <w:t>Minimal buffer; rapid delivery for imminent audits.</w:t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rFonts w:ascii="Arial" w:hAnsi="Arial"/>
                <w:color w:val="334155"/>
                <w:sz w:val="18"/>
              </w:rPr>
              <w:t>Standard (1 FTE)</w:t>
            </w:r>
          </w:p>
        </w:tc>
        <w:tc>
          <w:tcPr>
            <w:tcW w:type="dxa" w:w="2016"/>
            <w:shd w:fill="FFFFFF"/>
          </w:tcPr>
          <w:p>
            <w:r>
              <w:rPr>
                <w:rFonts w:ascii="Arial" w:hAnsi="Arial"/>
                <w:color w:val="334155"/>
                <w:sz w:val="18"/>
              </w:rPr>
              <w:t>40 Hours / Week</w:t>
            </w:r>
          </w:p>
        </w:tc>
        <w:tc>
          <w:tcPr>
            <w:tcW w:type="dxa" w:w="2016"/>
            <w:shd w:fill="FFFFFF"/>
          </w:tcPr>
          <w:p>
            <w:r>
              <w:rPr>
                <w:rFonts w:ascii="Arial" w:hAnsi="Arial"/>
                <w:color w:val="334155"/>
                <w:sz w:val="18"/>
              </w:rPr>
              <w:t>12 Weeks (Balanced)</w:t>
            </w:r>
          </w:p>
        </w:tc>
        <w:tc>
          <w:tcPr>
            <w:tcW w:type="dxa" w:w="2736"/>
            <w:shd w:fill="FFFFFF"/>
          </w:tcPr>
          <w:p>
            <w:r>
              <w:rPr>
                <w:rFonts w:ascii="Arial" w:hAnsi="Arial"/>
                <w:color w:val="334155"/>
                <w:sz w:val="18"/>
              </w:rPr>
              <w:t>Recommended; includes 2 buffer weeks for QA &amp; Penetration Testing.</w:t>
            </w:r>
          </w:p>
        </w:tc>
      </w:tr>
      <w:tr>
        <w:tc>
          <w:tcPr>
            <w:tcW w:type="dxa" w:w="2592"/>
            <w:shd w:fill="F8FAFC"/>
          </w:tcPr>
          <w:p>
            <w:r>
              <w:rPr>
                <w:rFonts w:ascii="Arial" w:hAnsi="Arial"/>
                <w:color w:val="334155"/>
                <w:sz w:val="18"/>
              </w:rPr>
              <w:t>Part-Time / Modular (0.5 FTE)</w:t>
            </w:r>
          </w:p>
        </w:tc>
        <w:tc>
          <w:tcPr>
            <w:tcW w:type="dxa" w:w="2016"/>
            <w:shd w:fill="F8FAFC"/>
          </w:tcPr>
          <w:p>
            <w:r>
              <w:rPr>
                <w:rFonts w:ascii="Arial" w:hAnsi="Arial"/>
                <w:color w:val="334155"/>
                <w:sz w:val="18"/>
              </w:rPr>
              <w:t>20 Hours / Week</w:t>
            </w:r>
          </w:p>
        </w:tc>
        <w:tc>
          <w:tcPr>
            <w:tcW w:type="dxa" w:w="2016"/>
            <w:shd w:fill="F8FAFC"/>
          </w:tcPr>
          <w:p>
            <w:r>
              <w:rPr>
                <w:rFonts w:ascii="Arial" w:hAnsi="Arial"/>
                <w:color w:val="334155"/>
                <w:sz w:val="18"/>
              </w:rPr>
              <w:t>16 Weeks (Extended)</w:t>
            </w:r>
          </w:p>
        </w:tc>
        <w:tc>
          <w:tcPr>
            <w:tcW w:type="dxa" w:w="2736"/>
            <w:shd w:fill="F8FAFC"/>
          </w:tcPr>
          <w:p>
            <w:r>
              <w:rPr>
                <w:rFonts w:ascii="Arial" w:hAnsi="Arial"/>
                <w:color w:val="334155"/>
                <w:sz w:val="18"/>
              </w:rPr>
              <w:t>Low-impact execution; feature releases spread over 4 months.</w:t>
            </w:r>
          </w:p>
        </w:tc>
      </w:tr>
    </w:tbl>
    <w:p>
      <w:pPr>
        <w:spacing w:after="240"/>
      </w:pPr>
    </w:p>
    <w:p>
      <w:pPr>
        <w:keepNext/>
        <w:spacing w:before="360" w:after="120"/>
      </w:pPr>
      <w:r>
        <w:rPr>
          <w:rFonts w:ascii="Arial" w:hAnsi="Arial"/>
          <w:b/>
          <w:color w:val="1E3A8A"/>
          <w:sz w:val="32"/>
        </w:rPr>
        <w:t>2. Flexible Milestone Breakdown</w:t>
      </w:r>
    </w:p>
    <w:p>
      <w:pPr>
        <w:keepNext/>
        <w:spacing w:before="280" w:after="80"/>
      </w:pPr>
      <w:r>
        <w:rPr>
          <w:rFonts w:ascii="Arial" w:hAnsi="Arial"/>
          <w:b/>
          <w:color w:val="2563EB"/>
          <w:sz w:val="26"/>
        </w:rPr>
        <w:t>Milestone 1: Security Hardening Core (Weeks 1 – 3 Window)</w:t>
      </w:r>
    </w:p>
    <w:p>
      <w:pPr>
        <w:spacing w:after="120"/>
      </w:pPr>
      <w:r>
        <w:t>• Work Package 1.1: JWT Authentication &amp; Role-Based Access Control (RBAC) in server.py</w:t>
        <w:br/>
      </w:r>
      <w:r>
        <w:t>• Work Package 1.2: AES-256 Baseline Store Encryption via Windows DPAPI in baseline_store.py</w:t>
        <w:br/>
      </w:r>
      <w:r>
        <w:t>• Work Package 1.3: HMAC-SHA256 Signed Append-Only Audit Logging in logger.py</w:t>
        <w:br/>
      </w:r>
      <w:r>
        <w:t>• Work Package 1.4: TLS Security &amp; Header Hardening</w:t>
      </w:r>
    </w:p>
    <w:p>
      <w:pPr>
        <w:keepNext/>
        <w:spacing w:before="280" w:after="80"/>
      </w:pPr>
      <w:r>
        <w:rPr>
          <w:rFonts w:ascii="Arial" w:hAnsi="Arial"/>
          <w:b/>
          <w:color w:val="2563EB"/>
          <w:sz w:val="26"/>
        </w:rPr>
        <w:t>Milestone 2: Real-time Kernel Engine &amp; SIEM Alerts (Weeks 4 – 7 Window)</w:t>
      </w:r>
    </w:p>
    <w:p>
      <w:pPr>
        <w:spacing w:after="120"/>
      </w:pPr>
      <w:r>
        <w:t>• Work Package 2.1: Real-time Kernel Event Monitoring (ReadDirectoryChangesW) in monitor.py</w:t>
        <w:br/>
      </w:r>
      <w:r>
        <w:t>• Work Package 2.2: User Identity &amp; SID Attribution Engine via Windows Audit Event Logs</w:t>
        <w:br/>
      </w:r>
      <w:r>
        <w:t>• Work Package 2.3: SIEM Alert Exporter (Syslog UDP/TCP/TLS, CEF, Webhooks, Email)</w:t>
        <w:br/>
      </w:r>
      <w:r>
        <w:t>• Work Package 2.4: Anti-Tampering Process Watchdog Daemon</w:t>
      </w:r>
    </w:p>
    <w:p>
      <w:pPr>
        <w:keepNext/>
        <w:spacing w:before="280" w:after="80"/>
      </w:pPr>
      <w:r>
        <w:rPr>
          <w:rFonts w:ascii="Arial" w:hAnsi="Arial"/>
          <w:b/>
          <w:color w:val="2563EB"/>
          <w:sz w:val="26"/>
        </w:rPr>
        <w:t>Milestone 3: Compliance Dashboard UI &amp; Audit Reports (Weeks 8 – 10 Window)</w:t>
      </w:r>
    </w:p>
    <w:p>
      <w:pPr>
        <w:spacing w:after="120"/>
      </w:pPr>
      <w:r>
        <w:t>• Work Package 3.1: NIST SP 800-53 &amp; ISO 27001 Control-Tagged PDF Audit Reports in report.py</w:t>
        <w:br/>
      </w:r>
      <w:r>
        <w:t>• Work Package 3.2: Interactive React Compliance Dashboard UI Component (ComplianceDashboard.jsx)</w:t>
        <w:br/>
      </w:r>
      <w:r>
        <w:t>• Work Package 3.3: Dual-Control Change Approval Workflow &amp; Digital X.509 Signatures</w:t>
      </w:r>
    </w:p>
    <w:p>
      <w:pPr>
        <w:keepNext/>
        <w:spacing w:before="280" w:after="80"/>
      </w:pPr>
      <w:r>
        <w:rPr>
          <w:rFonts w:ascii="Arial" w:hAnsi="Arial"/>
          <w:b/>
          <w:color w:val="2563EB"/>
          <w:sz w:val="26"/>
        </w:rPr>
        <w:t>Milestone 4: SWIFT CSP Banking Compliance Pack (Weeks 11 – 13 Window)</w:t>
      </w:r>
    </w:p>
    <w:p>
      <w:pPr>
        <w:spacing w:after="120"/>
      </w:pPr>
      <w:r>
        <w:t>• Work Package 4.1: SWIFT Alliance Gateway (SAG/SAA) Auto-Discovery Wizard in OnboardingWizard.jsx</w:t>
        <w:br/>
      </w:r>
      <w:r>
        <w:t>• Work Package 4.2: High-Security Encrypted Key Storage for SWIFT Routing Tables &amp; Binaries</w:t>
        <w:br/>
      </w:r>
      <w:r>
        <w:t>• Work Package 4.3: Live Database Schema (DDL) Snapshots for Financial Lineage &amp; DB Tables</w:t>
        <w:br/>
      </w:r>
      <w:r>
        <w:t>• Work Package 4.4: Banking Network Self-Integrity Heartbeat &amp; Redundant Daemon Pairing</w:t>
      </w:r>
    </w:p>
    <w:p>
      <w:pPr>
        <w:keepNext/>
        <w:spacing w:before="280" w:after="80"/>
      </w:pPr>
      <w:r>
        <w:rPr>
          <w:rFonts w:ascii="Arial" w:hAnsi="Arial"/>
          <w:b/>
          <w:color w:val="2563EB"/>
          <w:sz w:val="26"/>
        </w:rPr>
        <w:t>Milestone 5: Audit Buffer &amp; Final Verification (Weeks 13 – 14 Window)</w:t>
      </w:r>
    </w:p>
    <w:p>
      <w:pPr>
        <w:spacing w:after="120"/>
      </w:pPr>
      <w:r>
        <w:t>• Work Package 5.1: Third-Party QSA / SWIFT Assessor Penetration Testing &amp; Audit Sign-Off</w:t>
        <w:br/>
      </w:r>
      <w:r>
        <w:t>• Work Package 5.2: Production Readiness &amp; Release Packaging</w:t>
      </w:r>
    </w:p>
    <w:p>
      <w:pPr>
        <w:spacing w:after="240"/>
      </w:pPr>
    </w:p>
    <w:p>
      <w:pPr>
        <w:keepNext/>
        <w:spacing w:before="360" w:after="120"/>
      </w:pPr>
      <w:r>
        <w:rPr>
          <w:rFonts w:ascii="Arial" w:hAnsi="Arial"/>
          <w:b/>
          <w:color w:val="1E3A8A"/>
          <w:sz w:val="32"/>
        </w:rPr>
        <w:t>3. Strategic Flexibility &amp; Phase Swapping Guidelines</w:t>
      </w:r>
    </w:p>
    <w:p>
      <w:pPr>
        <w:spacing w:after="200"/>
      </w:pPr>
      <w:r>
        <w:t>1. Modular Phase Swapping: If a banking client requests SWIFT CSP early, Milestone 4 can be swapped with Milestone 3 right after Milestone 1.</w:t>
        <w:br/>
        <w:t>2. Minimum Viable Compliance (MVC): Releasing Milestone 1 + Milestone 2 allows immediate PCI DSS 4.0 and ISO 27001 commercial deployment in 6-8 weeks.</w:t>
        <w:br/>
        <w:t>3. Buffer Management: Each phase includes 3-5 days of built-in contingency buffer for regression testing and auditor feedback.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