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center"/>
        <w:rPr>
          <w:rFonts w:ascii="Times New Roman" w:cs="Times New Roman" w:hAnsi="Times New Roman"/>
          <w:color w:val="000000"/>
          <w:sz w:val="28"/>
          <w:szCs w:val="28"/>
          <w:u w:val="single"/>
          <w:rtl w:val="off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u w:val="single"/>
          <w:rtl w:val="off"/>
          <w:lang w:val="en-US"/>
        </w:rPr>
        <w:t>Machine Learning Internship Programme</w:t>
      </w:r>
    </w:p>
    <w:p w14:paraId="0000000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both"/>
        <w:rPr>
          <w:rFonts w:ascii="Times New Roman" w:cs="Times New Roman" w:hAnsi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28"/>
          <w:szCs w:val="28"/>
          <w:rtl w:val="off"/>
          <w:lang w:val="en-US"/>
        </w:rPr>
        <w:t>Data Preprocessing &amp; Feature Engineering Report</w:t>
      </w:r>
    </w:p>
    <w:p w14:paraId="0000000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Project Title:</w:t>
      </w:r>
    </w:p>
    <w:p w14:paraId="0000000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  <w:t>Customer Churn Prediction &amp; Retention Strategy</w:t>
      </w:r>
    </w:p>
    <w:p w14:paraId="0000000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Client:</w:t>
      </w:r>
    </w:p>
    <w:p w14:paraId="0000000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  <w:t>ABC Communications Ltd.</w:t>
      </w:r>
    </w:p>
    <w:p w14:paraId="0000000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Prepared By:</w:t>
      </w:r>
    </w:p>
    <w:p w14:paraId="0000000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  <w:t>Machine Learning Department, AnalystLab Africa</w:t>
      </w:r>
    </w:p>
    <w:p w14:paraId="0000000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Framework</w:t>
      </w:r>
    </w:p>
    <w:p w14:paraId="0000000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  <w:t>CRISP-DM Phase 2 — Data Preparation</w:t>
      </w:r>
    </w:p>
    <w:p w14:paraId="0000000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Document Status</w:t>
      </w:r>
    </w:p>
    <w:p w14:paraId="0000000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36"/>
          <w:szCs w:val="36"/>
          <w:lang w:val="en-US"/>
        </w:rPr>
      </w:pPr>
    </w:p>
    <w:p w14:paraId="0000000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center"/>
        <w:rPr>
          <w:rFonts w:ascii="Times New Roman" w:cs="Times New Roman" w:hAnsi="Times New Roman"/>
          <w:color w:val="000000"/>
          <w:sz w:val="36"/>
          <w:szCs w:val="36"/>
          <w:u w:val="single"/>
          <w:lang w:val="en-US"/>
        </w:rPr>
      </w:pPr>
      <w:r>
        <w:rPr>
          <w:rFonts w:ascii="Times New Roman" w:cs="Times New Roman" w:hAnsi="Times New Roman"/>
          <w:color w:val="000000"/>
          <w:sz w:val="36"/>
          <w:szCs w:val="36"/>
          <w:u w:val="single"/>
          <w:rtl w:val="off"/>
          <w:lang w:val="en-US"/>
        </w:rPr>
        <w:t>1. Executive Summary</w:t>
      </w:r>
    </w:p>
    <w:p w14:paraId="0000000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The purpose of this phase was to transform the raw Telco Customer Churn dataset into a clean, structured, and machine-learning-ready dataset.</w:t>
      </w:r>
    </w:p>
    <w:p w14:paraId="0000000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The original dataset contained </w:t>
      </w:r>
      <w:r>
        <w:rPr>
          <w:rFonts w:ascii="Times New Roman" w:cs="Times New Roman" w:hAnsi="Times New Roman"/>
          <w:b/>
          <w:color w:val="000000"/>
          <w:sz w:val="24"/>
          <w:szCs w:val="24"/>
          <w:rtl w:val="off"/>
          <w:lang w:val="en-US"/>
        </w:rPr>
        <w:t>7,043 customer records and 21 columns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. Initial inspection identified a data-type issue in 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TotalCharges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, duplicate records were checked, and categorical values were examined for consistency. The preprocessing workflow subsequently included missing-value treatment, standardization of service-related categorical values, removal of the customer identifier, feature engineering, categorical encoding, numerical scaling, outlier detection, and correlation-based feature analysis.</w:t>
      </w:r>
    </w:p>
    <w:p w14:paraId="0000001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The final processed dataset contained </w:t>
      </w:r>
      <w:r>
        <w:rPr>
          <w:rFonts w:ascii="Times New Roman" w:cs="Times New Roman" w:hAnsi="Times New Roman"/>
          <w:b/>
          <w:color w:val="000000"/>
          <w:sz w:val="24"/>
          <w:szCs w:val="24"/>
          <w:rtl w:val="off"/>
          <w:lang w:val="en-US"/>
        </w:rPr>
        <w:t>7,043 records and 27 columns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, representing the expanded feature matrix after engineering and encoding. The processed dataset was saved as:</w:t>
      </w:r>
    </w:p>
    <w:p w14:paraId="0000001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6"/>
          <w:szCs w:val="26"/>
          <w:lang w:val="en-US"/>
        </w:rPr>
      </w:pPr>
      <w:r>
        <w:rPr>
          <w:rFonts w:ascii="Times New Roman" w:cs="Times New Roman" w:hAnsi="Times New Roman"/>
          <w:b/>
          <w:color w:val="000000"/>
          <w:sz w:val="26"/>
          <w:szCs w:val="26"/>
          <w:rtl w:val="off"/>
          <w:lang w:val="en-US"/>
        </w:rPr>
        <w:t>Telco_Customer_Churn_ML_Ready.csv</w:t>
      </w:r>
    </w:p>
    <w:p w14:paraId="0000001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The complete preprocessing workflow is documented in the accompanying Jupyter Notebook.</w:t>
      </w:r>
    </w:p>
    <w:p w14:paraId="0000001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2. Dataset Inspection</w:t>
      </w:r>
    </w:p>
    <w:p w14:paraId="0000001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2.1 Dataset Dimensions</w:t>
      </w:r>
    </w:p>
    <w:p w14:paraId="0000001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The original dataset contained:</w:t>
      </w:r>
    </w:p>
    <w:p w14:paraId="00000016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  <w:rtl w:val="off"/>
          <w:lang w:val="en-US"/>
        </w:rPr>
        <w:t>Rows: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7,043</w:t>
      </w:r>
    </w:p>
    <w:p w14:paraId="00000017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  <w:rtl w:val="off"/>
          <w:lang w:val="en-US"/>
        </w:rPr>
        <w:t>Columns: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21</w:t>
      </w:r>
    </w:p>
    <w:p w14:paraId="0000001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36"/>
          <w:szCs w:val="36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The dataset included customer identification, demographic information, service subscriptions, contract information, payment information, billing information, and the churn target variable.</w:t>
      </w:r>
      <w:r>
        <w:rPr>
          <w:rFonts w:ascii="Times New Roman" w:cs="Times New Roman" w:hAnsi="Times New Roman"/>
          <w:color w:val="000000"/>
          <w:sz w:val="36"/>
          <w:szCs w:val="36"/>
          <w:lang w:val="en-US"/>
        </w:rPr>
        <w:br w:type="textWrapping"/>
      </w:r>
    </w:p>
    <w:p w14:paraId="0000001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2.2 Data Types</w:t>
      </w:r>
    </w:p>
    <w:p w14:paraId="0000001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Initial inspection showed that the dataset contained:</w:t>
      </w:r>
    </w:p>
    <w:p w14:paraId="0000001B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Integer variables such as 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SeniorCitizen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and 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tenure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.</w:t>
      </w:r>
    </w:p>
    <w:p w14:paraId="0000001C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Floating-point variables such as 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MonthlyCharges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.</w:t>
      </w:r>
    </w:p>
    <w:p w14:paraId="0000001D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String/categorical variables such as 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gender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, 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Contract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, 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PaymentMethod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, and 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Churn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.</w:t>
      </w:r>
    </w:p>
    <w:p w14:paraId="0000001E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TotalCharges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was initially stored as a string despite representing a numerical billing quantity.</w:t>
      </w:r>
    </w:p>
    <w:p w14:paraId="0000001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36"/>
          <w:szCs w:val="36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This required data-type correction before numerical analysis and machine learning preprocessing.</w:t>
      </w:r>
      <w:r>
        <w:rPr>
          <w:rFonts w:ascii="Times New Roman" w:cs="Times New Roman" w:hAnsi="Times New Roman"/>
          <w:color w:val="000000"/>
          <w:sz w:val="36"/>
          <w:szCs w:val="36"/>
          <w:lang w:val="en-US"/>
        </w:rPr>
        <w:br w:type="textWrapping"/>
      </w:r>
    </w:p>
    <w:p w14:paraId="0000002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center"/>
        <w:rPr>
          <w:rFonts w:ascii="Times New Roman" w:cs="Times New Roman" w:hAnsi="Times New Roman"/>
          <w:color w:val="000000"/>
          <w:sz w:val="36"/>
          <w:szCs w:val="36"/>
          <w:u w:val="single"/>
          <w:lang w:val="en-US"/>
        </w:rPr>
      </w:pPr>
      <w:r>
        <w:rPr>
          <w:rFonts w:ascii="Times New Roman" w:cs="Times New Roman" w:hAnsi="Times New Roman"/>
          <w:color w:val="000000"/>
          <w:sz w:val="36"/>
          <w:szCs w:val="36"/>
          <w:u w:val="single"/>
          <w:rtl w:val="off"/>
          <w:lang w:val="en-US"/>
        </w:rPr>
        <w:t>2.3 Missing Values</w:t>
      </w:r>
    </w:p>
    <w:p w14:paraId="0000002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The initial 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isnull()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check did not identify standard pandas 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NaN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values. However, inspection of 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TotalCharges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revealed blank string values that were being treated as text rather than missing numerical observations.</w:t>
      </w:r>
    </w:p>
    <w:p w14:paraId="0000002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After numerical coercion, these blank values were converted to missing numerical values and subsequently handled during cleaning.</w:t>
      </w:r>
    </w:p>
    <w:p w14:paraId="0000002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36"/>
          <w:szCs w:val="36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The 11 affected records corresponded to customers with zero tenure, making a cumulative 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TotalCharges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value of zero a reasonable domain-based treatment.</w:t>
      </w:r>
      <w:r>
        <w:rPr>
          <w:rFonts w:ascii="Times New Roman" w:cs="Times New Roman" w:hAnsi="Times New Roman"/>
          <w:color w:val="000000"/>
          <w:sz w:val="36"/>
          <w:szCs w:val="36"/>
          <w:lang w:val="en-US"/>
        </w:rPr>
        <w:br w:type="textWrapping"/>
      </w:r>
    </w:p>
    <w:p w14:paraId="0000002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36"/>
          <w:szCs w:val="36"/>
          <w:lang w:val="en-US"/>
        </w:rPr>
      </w:pPr>
      <w:r>
        <w:rPr>
          <w:rFonts w:ascii="Times New Roman" w:cs="Times New Roman" w:hAnsi="Times New Roman"/>
          <w:color w:val="000000"/>
          <w:sz w:val="36"/>
          <w:szCs w:val="36"/>
          <w:rtl w:val="off"/>
          <w:lang w:val="en-US"/>
        </w:rPr>
        <w:t>2.4 Duplicate Records</w:t>
      </w:r>
    </w:p>
    <w:p w14:paraId="0000002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Duplicate records were checked using pandas' 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duplicated()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method.</w:t>
      </w:r>
    </w:p>
    <w:p w14:paraId="0000002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The result was:</w:t>
      </w:r>
    </w:p>
    <w:p w14:paraId="0000002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  <w:rtl w:val="off"/>
          <w:lang w:val="en-US"/>
        </w:rPr>
        <w:t>0 duplicate records detected.</w:t>
      </w:r>
    </w:p>
    <w:p w14:paraId="0000002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Therefore, no rows were removed on the basis of duplication.</w:t>
      </w:r>
    </w:p>
    <w:p w14:paraId="0000002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2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center"/>
        <w:rPr>
          <w:rFonts w:ascii="Times New Roman" w:cs="Times New Roman" w:hAnsi="Times New Roman"/>
          <w:color w:val="000000"/>
          <w:sz w:val="36"/>
          <w:szCs w:val="36"/>
          <w:u w:val="single"/>
          <w:lang w:val="en-US"/>
        </w:rPr>
      </w:pPr>
      <w:r>
        <w:rPr>
          <w:rFonts w:ascii="Times New Roman" w:cs="Times New Roman" w:hAnsi="Times New Roman"/>
          <w:color w:val="000000"/>
          <w:sz w:val="36"/>
          <w:szCs w:val="36"/>
          <w:u w:val="single"/>
          <w:rtl w:val="off"/>
          <w:lang w:val="en-US"/>
        </w:rPr>
        <w:t>3. Data Cleaning</w:t>
      </w:r>
    </w:p>
    <w:p w14:paraId="0000002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36"/>
          <w:szCs w:val="36"/>
          <w:u w:val="single"/>
          <w:lang w:val="en-US"/>
        </w:rPr>
      </w:pPr>
      <w:r>
        <w:rPr>
          <w:rFonts w:ascii="Times New Roman" w:cs="Times New Roman" w:hAnsi="Times New Roman"/>
          <w:color w:val="000000"/>
          <w:sz w:val="36"/>
          <w:szCs w:val="36"/>
          <w:u w:val="single"/>
          <w:rtl w:val="off"/>
          <w:lang w:val="en-US"/>
        </w:rPr>
        <w:t xml:space="preserve">3.1 </w:t>
      </w:r>
      <w:r>
        <w:rPr>
          <w:rFonts w:ascii="Times New Roman" w:cs="Times New Roman" w:hAnsi="Times New Roman"/>
          <w:color w:val="000000"/>
          <w:sz w:val="36"/>
          <w:szCs w:val="36"/>
          <w:u w:val="single"/>
          <w:rtl w:val="off"/>
          <w:lang w:val="en-US"/>
        </w:rPr>
        <w:t>TotalCharges</w:t>
      </w:r>
      <w:r>
        <w:rPr>
          <w:rFonts w:ascii="Times New Roman" w:cs="Times New Roman" w:hAnsi="Times New Roman"/>
          <w:color w:val="000000"/>
          <w:sz w:val="36"/>
          <w:szCs w:val="36"/>
          <w:u w:val="single"/>
          <w:rtl w:val="off"/>
          <w:lang w:val="en-US"/>
        </w:rPr>
        <w:t xml:space="preserve"> Data-Type Correction</w:t>
      </w:r>
    </w:p>
    <w:p w14:paraId="0000002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TotalCharges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was initially stored as a string variable even though it represents a numerical monetary value.</w:t>
      </w:r>
    </w:p>
    <w:p w14:paraId="0000002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The column was converted to numeric using numeric coercion. Values that could not be converted were treated as missing values and subsequently assigned a value of zero for the zero-tenure customers.</w:t>
      </w:r>
    </w:p>
    <w:p w14:paraId="0000002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This ensured that 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TotalCharges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could be used for numerical analysis and subsequent feature scaling.</w:t>
      </w:r>
    </w:p>
    <w:p w14:paraId="0000002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36"/>
          <w:szCs w:val="36"/>
          <w:lang w:val="en-US"/>
        </w:rPr>
      </w:pPr>
    </w:p>
    <w:p w14:paraId="0000003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36"/>
          <w:szCs w:val="36"/>
          <w:lang w:val="en-US"/>
        </w:rPr>
      </w:pPr>
      <w:r>
        <w:rPr>
          <w:rFonts w:ascii="Times New Roman" w:cs="Times New Roman" w:hAnsi="Times New Roman"/>
          <w:color w:val="000000"/>
          <w:sz w:val="36"/>
          <w:szCs w:val="36"/>
          <w:rtl w:val="off"/>
          <w:lang w:val="en-US"/>
        </w:rPr>
        <w:t>3.2 Standardization of Inconsistent Service Values</w:t>
      </w:r>
    </w:p>
    <w:p w14:paraId="0000003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The categorical inspection revealed service-related values such as:</w:t>
      </w:r>
    </w:p>
    <w:p w14:paraId="00000032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Yes</w:t>
      </w:r>
    </w:p>
    <w:p w14:paraId="00000033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No</w:t>
      </w:r>
    </w:p>
    <w:p w14:paraId="00000034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No internet service</w:t>
      </w:r>
    </w:p>
    <w:p w14:paraId="00000035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No phone service</w:t>
      </w:r>
    </w:p>
    <w:p w14:paraId="0000003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The values 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No internet service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and 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No phone service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were standardized to 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No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for the relevant service indicators.</w:t>
      </w:r>
    </w:p>
    <w:p w14:paraId="0000003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This transformation was applied to:</w:t>
      </w:r>
    </w:p>
    <w:p w14:paraId="00000038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OnlineSecurity</w:t>
      </w:r>
    </w:p>
    <w:p w14:paraId="00000039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OnlineBackup</w:t>
      </w:r>
    </w:p>
    <w:p w14:paraId="0000003A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DeviceProtection</w:t>
      </w:r>
    </w:p>
    <w:p w14:paraId="0000003B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TechSupport</w:t>
      </w:r>
    </w:p>
    <w:p w14:paraId="0000003C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StreamingTV</w:t>
      </w:r>
    </w:p>
    <w:p w14:paraId="0000003D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StreamingMovies</w:t>
      </w:r>
    </w:p>
    <w:p w14:paraId="0000003E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MultipleLines</w:t>
      </w:r>
    </w:p>
    <w:p w14:paraId="0000003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The purpose was to create consistent binary service indicators for subsequent encoding. The notebook explicitly documents this transformation and its rationale.</w:t>
      </w:r>
    </w:p>
    <w:p w14:paraId="0000004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br w:type="textWrapping"/>
      </w:r>
    </w:p>
    <w:p w14:paraId="0000004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4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4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32"/>
          <w:szCs w:val="32"/>
          <w:lang w:val="en-US"/>
        </w:rPr>
      </w:pPr>
      <w:r>
        <w:rPr>
          <w:rFonts w:ascii="Times New Roman" w:cs="Times New Roman" w:hAnsi="Times New Roman"/>
          <w:color w:val="000000"/>
          <w:sz w:val="32"/>
          <w:szCs w:val="32"/>
          <w:rtl w:val="off"/>
          <w:lang w:val="en-US"/>
        </w:rPr>
        <w:t>3.3 Removal of Identifier</w:t>
      </w:r>
    </w:p>
    <w:p w14:paraId="0000004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The 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customerID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column was removed from the modeling dataset.</w:t>
      </w:r>
    </w:p>
    <w:p w14:paraId="0000004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The identifier is useful for distinguishing customers but does not represent a meaningful behavioral or business characteristic for predicting churn. Keeping it could introduce unnecessary high-cardinality information into the feature matrix.</w:t>
      </w:r>
    </w:p>
    <w:p w14:paraId="0000004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32"/>
          <w:szCs w:val="32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Therefore, it was excluded before encoding.</w:t>
      </w:r>
      <w:r>
        <w:rPr>
          <w:rFonts w:ascii="Times New Roman" w:cs="Times New Roman" w:hAnsi="Times New Roman"/>
          <w:color w:val="000000"/>
          <w:sz w:val="36"/>
          <w:szCs w:val="36"/>
          <w:lang w:val="en-US"/>
        </w:rPr>
        <w:br w:type="textWrapping"/>
      </w:r>
    </w:p>
    <w:p w14:paraId="0000004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center"/>
        <w:rPr>
          <w:rFonts w:ascii="Times New Roman" w:cs="Times New Roman" w:hAnsi="Times New Roman"/>
          <w:color w:val="000000"/>
          <w:sz w:val="32"/>
          <w:szCs w:val="32"/>
          <w:u w:val="single"/>
          <w:lang w:val="en-US"/>
        </w:rPr>
      </w:pPr>
      <w:r>
        <w:rPr>
          <w:rFonts w:ascii="Times New Roman" w:cs="Times New Roman" w:hAnsi="Times New Roman"/>
          <w:color w:val="000000"/>
          <w:sz w:val="32"/>
          <w:szCs w:val="32"/>
          <w:u w:val="single"/>
          <w:rtl w:val="off"/>
          <w:lang w:val="en-US"/>
        </w:rPr>
        <w:t>4. Feature Engineering</w:t>
      </w:r>
    </w:p>
    <w:p w14:paraId="0000004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Feature engineering was performed to create additional variables that could represent customer behavior and account characteristics more directly.</w:t>
      </w:r>
    </w:p>
    <w:p w14:paraId="0000004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4.1 Total Services</w:t>
      </w:r>
    </w:p>
    <w:p w14:paraId="0000004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A new feature called:</w:t>
      </w:r>
    </w:p>
    <w:p w14:paraId="0000004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  <w:rtl w:val="off"/>
          <w:lang w:val="en-US"/>
        </w:rPr>
        <w:t>Total Services</w:t>
      </w:r>
    </w:p>
    <w:p w14:paraId="0000004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was created by counting the number of subscribed services marked as 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Yes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.</w:t>
      </w:r>
    </w:p>
    <w:p w14:paraId="0000004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The feature incorporated:</w:t>
      </w:r>
    </w:p>
    <w:p w14:paraId="0000004E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PhoneService</w:t>
      </w:r>
    </w:p>
    <w:p w14:paraId="0000004F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OnlineSecurity</w:t>
      </w:r>
    </w:p>
    <w:p w14:paraId="00000050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DeviceProtection</w:t>
      </w:r>
    </w:p>
    <w:p w14:paraId="00000051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TechSupport</w:t>
      </w:r>
    </w:p>
    <w:p w14:paraId="00000052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StreamingTV</w:t>
      </w:r>
    </w:p>
    <w:p w14:paraId="00000053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StreamingMovies</w:t>
      </w:r>
    </w:p>
    <w:p w14:paraId="00000054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OnlineBackup</w:t>
      </w:r>
    </w:p>
    <w:p w14:paraId="0000005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The purpose was to represent the overall breadth of services associated with a customer.</w:t>
      </w:r>
    </w:p>
    <w:p w14:paraId="0000005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The notebook calculated this feature for all 7,043 customer records.</w:t>
      </w:r>
    </w:p>
    <w:p w14:paraId="0000005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5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4.2 Average Monthly Ratio</w:t>
      </w:r>
    </w:p>
    <w:p w14:paraId="0000005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A second engineered feature called:</w:t>
      </w:r>
    </w:p>
    <w:p w14:paraId="0000005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  <w:rtl w:val="off"/>
          <w:lang w:val="en-US"/>
        </w:rPr>
        <w:t>Avg_Monthly_Ratio</w:t>
      </w:r>
    </w:p>
    <w:p w14:paraId="0000005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was created using:</w:t>
      </w:r>
    </w:p>
    <w:p w14:paraId="0000005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[</w:t>
      </w: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Avg_Monthly_Ratio =</w:t>
      </w: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\frac{TotalCharges}{tenure + 1}</w:t>
      </w: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]</w:t>
      </w:r>
    </w:p>
    <w:p w14:paraId="0000005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The addition of one to tenure prevents division by zero for customers whose tenure is zero.</w:t>
      </w:r>
    </w:p>
    <w:p w14:paraId="0000005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This feature was created to provide an additional representation of a customer's historical billing level relative to their tenure.</w:t>
      </w: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br w:type="textWrapping"/>
      </w:r>
    </w:p>
    <w:p w14:paraId="0000005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4.3 Automatic Payment Indicator</w:t>
      </w:r>
    </w:p>
    <w:p w14:paraId="0000006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A binary feature called:</w:t>
      </w:r>
    </w:p>
    <w:p w14:paraId="0000006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  <w:rtl w:val="off"/>
          <w:lang w:val="en-US"/>
        </w:rPr>
        <w:t>Automatic_Payment</w:t>
      </w:r>
    </w:p>
    <w:p w14:paraId="0000006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was created from the 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PaymentMethod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variable.</w:t>
      </w:r>
    </w:p>
    <w:p w14:paraId="0000006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Customers using payment methods containing the word "automatic" were assigned:</w:t>
      </w:r>
    </w:p>
    <w:p w14:paraId="00000064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1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= automatic payment</w:t>
      </w:r>
    </w:p>
    <w:p w14:paraId="00000065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0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= non-automatic payment</w:t>
      </w:r>
    </w:p>
    <w:p w14:paraId="0000006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This transformation converts payment behavior into a simple numerical indicator that can be used by machine learning algorithms.</w:t>
      </w: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br w:type="textWrapping"/>
      </w:r>
    </w:p>
    <w:p w14:paraId="0000006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4.4 Family Indicator</w:t>
      </w:r>
    </w:p>
    <w:p w14:paraId="0000006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A binary feature called:</w:t>
      </w:r>
    </w:p>
    <w:p w14:paraId="0000006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  <w:rtl w:val="off"/>
          <w:lang w:val="en-US"/>
        </w:rPr>
        <w:t>Has_Family</w:t>
      </w:r>
    </w:p>
    <w:p w14:paraId="0000006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was created using the 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Partner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and 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Dependents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variables.</w:t>
      </w:r>
    </w:p>
    <w:p w14:paraId="0000006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A customer was assigned:</w:t>
      </w:r>
    </w:p>
    <w:p w14:paraId="0000006C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1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if they had a partner or dependents.</w:t>
      </w:r>
    </w:p>
    <w:p w14:paraId="0000006D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0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otherwise.</w:t>
      </w:r>
    </w:p>
    <w:p w14:paraId="0000006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This feature provides a simplified representation of household/family association within the customer record.</w:t>
      </w:r>
    </w:p>
    <w:p w14:paraId="0000006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7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center"/>
        <w:rPr>
          <w:rFonts w:ascii="Times New Roman" w:cs="Times New Roman" w:hAnsi="Times New Roman"/>
          <w:color w:val="000000"/>
          <w:sz w:val="32"/>
          <w:szCs w:val="32"/>
          <w:u w:val="single"/>
          <w:lang w:val="en-US"/>
        </w:rPr>
      </w:pPr>
      <w:r>
        <w:rPr>
          <w:rFonts w:ascii="Times New Roman" w:cs="Times New Roman" w:hAnsi="Times New Roman"/>
          <w:color w:val="000000"/>
          <w:sz w:val="32"/>
          <w:szCs w:val="32"/>
          <w:u w:val="single"/>
          <w:rtl w:val="off"/>
          <w:lang w:val="en-US"/>
        </w:rPr>
        <w:t>5. Feature Encoding</w:t>
      </w:r>
    </w:p>
    <w:p w14:paraId="0000007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16"/>
          <w:szCs w:val="16"/>
          <w:lang w:val="en-US"/>
        </w:rPr>
      </w:pPr>
      <w:r>
        <w:rPr>
          <w:rFonts w:ascii="Times New Roman" w:cs="Times New Roman" w:hAnsi="Times New Roman"/>
          <w:color w:val="000000"/>
          <w:sz w:val="16"/>
          <w:szCs w:val="16"/>
          <w:rtl w:val="off"/>
          <w:lang w:val="en-US"/>
        </w:rPr>
        <w:t>Machine learning algorithms generally require numerical input, so</w:t>
      </w:r>
      <w:r>
        <w:rPr>
          <w:rFonts w:ascii="Times New Roman" w:cs="Times New Roman" w:hAnsi="Times New Roman"/>
          <w:color w:val="000000"/>
          <w:sz w:val="16"/>
          <w:szCs w:val="16"/>
          <w:rtl w:val="off"/>
          <w:lang w:val="en-US"/>
        </w:rPr>
        <w:t xml:space="preserve"> categorical variables were converted into numerical representations.</w:t>
      </w:r>
    </w:p>
    <w:p w14:paraId="0000007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16"/>
          <w:szCs w:val="16"/>
          <w:lang w:val="en-US"/>
        </w:rPr>
      </w:pPr>
      <w:r>
        <w:rPr>
          <w:rFonts w:ascii="Times New Roman" w:cs="Times New Roman" w:hAnsi="Times New Roman"/>
          <w:color w:val="000000"/>
          <w:sz w:val="16"/>
          <w:szCs w:val="16"/>
          <w:rtl w:val="off"/>
          <w:lang w:val="en-US"/>
        </w:rPr>
        <w:t>5.1 Target Encoding</w:t>
      </w:r>
    </w:p>
    <w:p w14:paraId="0000007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16"/>
          <w:szCs w:val="16"/>
          <w:lang w:val="en-US"/>
        </w:rPr>
      </w:pPr>
      <w:r>
        <w:rPr>
          <w:rFonts w:ascii="Times New Roman" w:cs="Times New Roman" w:hAnsi="Times New Roman"/>
          <w:color w:val="000000"/>
          <w:sz w:val="16"/>
          <w:szCs w:val="16"/>
          <w:rtl w:val="off"/>
          <w:lang w:val="en-US"/>
        </w:rPr>
        <w:t xml:space="preserve">The target variable </w:t>
      </w:r>
      <w:r>
        <w:rPr>
          <w:rFonts w:ascii="Times New Roman" w:cs="Times New Roman" w:hAnsi="Times New Roman"/>
          <w:color w:val="000000"/>
          <w:sz w:val="16"/>
          <w:szCs w:val="16"/>
          <w:rtl w:val="off"/>
          <w:lang w:val="en-US"/>
        </w:rPr>
        <w:t>Churn</w:t>
      </w:r>
      <w:r>
        <w:rPr>
          <w:rFonts w:ascii="Times New Roman" w:cs="Times New Roman" w:hAnsi="Times New Roman"/>
          <w:color w:val="000000"/>
          <w:sz w:val="16"/>
          <w:szCs w:val="16"/>
          <w:rtl w:val="off"/>
          <w:lang w:val="en-US"/>
        </w:rPr>
        <w:t xml:space="preserve"> was converted using binary mapping:</w:t>
      </w:r>
    </w:p>
    <w:p w14:paraId="0000007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16"/>
          <w:szCs w:val="16"/>
          <w:lang w:val="en-US"/>
        </w:rPr>
      </w:pPr>
      <w:r>
        <w:rPr>
          <w:rFonts w:ascii="Times New Roman" w:cs="Times New Roman" w:hAnsi="Times New Roman"/>
          <w:color w:val="000000"/>
          <w:sz w:val="16"/>
          <w:szCs w:val="16"/>
          <w:rtl w:val="off"/>
          <w:lang w:val="en-US"/>
        </w:rPr>
        <w:t>This creates the binary target required for classification.</w:t>
      </w:r>
    </w:p>
    <w:p w14:paraId="0000007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16"/>
          <w:szCs w:val="16"/>
          <w:lang w:val="en-US"/>
        </w:rPr>
      </w:pPr>
      <w:r>
        <w:rPr>
          <w:rFonts w:ascii="Times New Roman" w:cs="Times New Roman" w:hAnsi="Times New Roman"/>
          <w:color w:val="000000"/>
          <w:sz w:val="16"/>
          <w:szCs w:val="16"/>
          <w:lang w:val="en-US"/>
        </w:rPr>
        <w:br w:type="textWrapping"/>
      </w:r>
    </w:p>
    <w:p w14:paraId="0000007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16"/>
          <w:szCs w:val="16"/>
          <w:lang w:val="en-US"/>
        </w:rPr>
      </w:pPr>
      <w:r>
        <w:rPr>
          <w:rFonts w:ascii="Times New Roman" w:cs="Times New Roman" w:hAnsi="Times New Roman"/>
          <w:color w:val="000000"/>
          <w:sz w:val="16"/>
          <w:szCs w:val="16"/>
          <w:rtl w:val="off"/>
          <w:lang w:val="en-US"/>
        </w:rPr>
        <w:t>5.2 Ordinal Encoding of Contract</w:t>
      </w:r>
    </w:p>
    <w:p w14:paraId="0000007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16"/>
          <w:szCs w:val="16"/>
          <w:lang w:val="en-US"/>
        </w:rPr>
      </w:pPr>
      <w:r>
        <w:rPr>
          <w:rFonts w:ascii="Times New Roman" w:cs="Times New Roman" w:hAnsi="Times New Roman"/>
          <w:color w:val="000000"/>
          <w:sz w:val="16"/>
          <w:szCs w:val="16"/>
          <w:rtl w:val="off"/>
          <w:lang w:val="en-US"/>
        </w:rPr>
        <w:t>Contract</w:t>
      </w:r>
      <w:r>
        <w:rPr>
          <w:rFonts w:ascii="Times New Roman" w:cs="Times New Roman" w:hAnsi="Times New Roman"/>
          <w:color w:val="000000"/>
          <w:sz w:val="16"/>
          <w:szCs w:val="16"/>
          <w:rtl w:val="off"/>
          <w:lang w:val="en-US"/>
        </w:rPr>
        <w:t xml:space="preserve"> has an inherent ordering based on contract duration:</w:t>
      </w:r>
    </w:p>
    <w:p w14:paraId="00000078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16"/>
          <w:szCs w:val="16"/>
          <w:lang w:val="en-US"/>
        </w:rPr>
      </w:pPr>
      <w:r>
        <w:rPr>
          <w:rFonts w:ascii="Times New Roman" w:cs="Times New Roman" w:hAnsi="Times New Roman"/>
          <w:color w:val="000000"/>
          <w:sz w:val="16"/>
          <w:szCs w:val="16"/>
          <w:rtl w:val="off"/>
          <w:lang w:val="en-US"/>
        </w:rPr>
        <w:t>Month-to-month</w:t>
      </w:r>
    </w:p>
    <w:p w14:paraId="00000079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16"/>
          <w:szCs w:val="16"/>
          <w:lang w:val="en-US"/>
        </w:rPr>
      </w:pPr>
      <w:r>
        <w:rPr>
          <w:rFonts w:ascii="Times New Roman" w:cs="Times New Roman" w:hAnsi="Times New Roman"/>
          <w:color w:val="000000"/>
          <w:sz w:val="16"/>
          <w:szCs w:val="16"/>
          <w:rtl w:val="off"/>
          <w:lang w:val="en-US"/>
        </w:rPr>
        <w:t>One year</w:t>
      </w:r>
    </w:p>
    <w:p w14:paraId="0000007A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16"/>
          <w:szCs w:val="16"/>
          <w:lang w:val="en-US"/>
        </w:rPr>
      </w:pPr>
      <w:r>
        <w:rPr>
          <w:rFonts w:ascii="Times New Roman" w:cs="Times New Roman" w:hAnsi="Times New Roman"/>
          <w:color w:val="000000"/>
          <w:sz w:val="16"/>
          <w:szCs w:val="16"/>
          <w:rtl w:val="off"/>
          <w:lang w:val="en-US"/>
        </w:rPr>
        <w:t>Two year</w:t>
      </w:r>
    </w:p>
    <w:p w14:paraId="0000007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16"/>
          <w:szCs w:val="16"/>
          <w:lang w:val="en-US"/>
        </w:rPr>
      </w:pPr>
      <w:r>
        <w:rPr>
          <w:rFonts w:ascii="Times New Roman" w:cs="Times New Roman" w:hAnsi="Times New Roman"/>
          <w:color w:val="000000"/>
          <w:sz w:val="16"/>
          <w:szCs w:val="16"/>
          <w:rtl w:val="off"/>
          <w:lang w:val="en-US"/>
        </w:rPr>
        <w:t>It was therefore represented numerically as:</w:t>
      </w:r>
    </w:p>
    <w:tbl>
      <w:tblPr>
        <w:bidiVisual w:val="off"/>
        <w:tblW w:w="2649" w:type="dxa"/>
        <w:jc w:val="left"/>
        <w:tblLayout w:type="fixed"/>
        <w:tblCellMar>
          <w:top w:w="10" w:type="dxa"/>
          <w:left w:w="10" w:type="dxa"/>
          <w:bottom w:w="10" w:type="dxa"/>
          <w:right w:w="10" w:type="dxa"/>
        </w:tblCellMar>
      </w:tblPr>
      <w:tblGrid>
        <w:gridCol w:w="932"/>
        <w:gridCol w:w="1717"/>
      </w:tblGrid>
      <w:tr>
        <w:trPr>
          <w:wBefore w:w="0" w:type="dxa"/>
          <w:jc w:val="left"/>
        </w:trPr>
        <w:tc>
          <w:tcPr>
            <w:cnfStyle w:val="100010000000"/>
            <w:tcW w:w="932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7C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tabs>
                <w:tab w:val="left" w:leader="none" w:pos="900"/>
              </w:tabs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16"/>
                <w:szCs w:val="16"/>
                <w:rtl w:val="off"/>
                <w:lang w:val="en-US"/>
              </w:rPr>
              <w:t>Contract</w:t>
            </w:r>
          </w:p>
        </w:tc>
        <w:tc>
          <w:tcPr>
            <w:cnfStyle w:val="100001000000"/>
            <w:tcW w:w="1717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7D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tabs>
                <w:tab w:val="left" w:leader="none" w:pos="29"/>
              </w:tabs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16"/>
                <w:szCs w:val="16"/>
                <w:rtl w:val="off"/>
                <w:lang w:val="en-US"/>
              </w:rPr>
              <w:t>Encoded Value</w:t>
            </w:r>
          </w:p>
        </w:tc>
      </w:tr>
      <w:tr>
        <w:trPr>
          <w:wBefore w:w="0" w:type="dxa"/>
          <w:jc w:val="left"/>
        </w:trPr>
        <w:tc>
          <w:tcPr>
            <w:cnfStyle w:val="000010000000"/>
            <w:tcW w:w="932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7E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16"/>
                <w:szCs w:val="16"/>
                <w:rtl w:val="off"/>
                <w:lang w:val="en-US"/>
              </w:rPr>
              <w:t>Month-to-month</w:t>
            </w:r>
          </w:p>
        </w:tc>
        <w:tc>
          <w:tcPr>
            <w:cnfStyle w:val="000001000000"/>
            <w:tcW w:w="1717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7F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16"/>
                <w:szCs w:val="16"/>
                <w:rtl w:val="off"/>
                <w:lang w:val="en-US"/>
              </w:rPr>
              <w:t>0</w:t>
            </w:r>
          </w:p>
        </w:tc>
      </w:tr>
      <w:tr>
        <w:trPr>
          <w:wBefore w:w="0" w:type="dxa"/>
          <w:jc w:val="left"/>
        </w:trPr>
        <w:tc>
          <w:tcPr>
            <w:cnfStyle w:val="000010000000"/>
            <w:tcW w:w="932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80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16"/>
                <w:szCs w:val="16"/>
                <w:rtl w:val="off"/>
                <w:lang w:val="en-US"/>
              </w:rPr>
              <w:t>One year</w:t>
            </w:r>
          </w:p>
        </w:tc>
        <w:tc>
          <w:tcPr>
            <w:cnfStyle w:val="000001000000"/>
            <w:tcW w:w="1717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81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16"/>
                <w:szCs w:val="16"/>
                <w:rtl w:val="off"/>
                <w:lang w:val="en-US"/>
              </w:rPr>
              <w:t>1</w:t>
            </w:r>
          </w:p>
        </w:tc>
      </w:tr>
      <w:tr>
        <w:trPr>
          <w:wBefore w:w="0" w:type="dxa"/>
          <w:jc w:val="left"/>
        </w:trPr>
        <w:tc>
          <w:tcPr>
            <w:cnfStyle w:val="000010000000"/>
            <w:tcW w:w="932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82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16"/>
                <w:szCs w:val="16"/>
                <w:rtl w:val="off"/>
                <w:lang w:val="en-US"/>
              </w:rPr>
              <w:t>Two year</w:t>
            </w:r>
          </w:p>
        </w:tc>
        <w:tc>
          <w:tcPr>
            <w:cnfStyle w:val="000001000000"/>
            <w:tcW w:w="1717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83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16"/>
                <w:szCs w:val="16"/>
                <w:rtl w:val="off"/>
                <w:lang w:val="en-US"/>
              </w:rPr>
              <w:t>2</w:t>
            </w:r>
          </w:p>
        </w:tc>
      </w:tr>
    </w:tbl>
    <w:p w14:paraId="0000008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16"/>
          <w:szCs w:val="16"/>
          <w:rtl w:val="off"/>
          <w:lang w:val="en-US"/>
        </w:rPr>
      </w:pPr>
      <w:r>
        <w:rPr>
          <w:rFonts w:ascii="Times New Roman" w:cs="Times New Roman" w:hAnsi="Times New Roman"/>
          <w:color w:val="000000"/>
          <w:sz w:val="16"/>
          <w:szCs w:val="16"/>
          <w:rtl w:val="off"/>
          <w:lang w:val="en-US"/>
        </w:rPr>
        <w:t>This preserves the increasing duration represented by the categories.</w:t>
      </w:r>
    </w:p>
    <w:p w14:paraId="0000008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16"/>
          <w:szCs w:val="16"/>
          <w:lang w:val="en-US"/>
        </w:rPr>
      </w:pPr>
      <w:r>
        <w:rPr>
          <w:rFonts w:ascii="Times New Roman" w:cs="Times New Roman" w:hAnsi="Times New Roman"/>
          <w:color w:val="000000"/>
          <w:sz w:val="16"/>
          <w:szCs w:val="16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16"/>
          <w:szCs w:val="16"/>
          <w:rtl w:val="off"/>
          <w:lang w:val="en-US"/>
        </w:rPr>
        <w:t xml:space="preserve"> Encoding</w:t>
      </w:r>
    </w:p>
    <w:p w14:paraId="0000008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16"/>
          <w:szCs w:val="16"/>
          <w:lang w:val="en-US"/>
        </w:rPr>
      </w:pPr>
      <w:r>
        <w:rPr>
          <w:rFonts w:ascii="Times New Roman" w:cs="Times New Roman" w:hAnsi="Times New Roman"/>
          <w:color w:val="000000"/>
          <w:sz w:val="16"/>
          <w:szCs w:val="16"/>
          <w:rtl w:val="off"/>
          <w:lang w:val="en-US"/>
        </w:rPr>
        <w:t>Nominal categorical variables without a meaningful numerical ordering were transformed using one-hot encoding.</w:t>
      </w:r>
    </w:p>
    <w:p w14:paraId="0000008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16"/>
          <w:szCs w:val="16"/>
          <w:lang w:val="en-US"/>
        </w:rPr>
      </w:pPr>
      <w:r>
        <w:rPr>
          <w:rFonts w:ascii="Times New Roman" w:cs="Times New Roman" w:hAnsi="Times New Roman"/>
          <w:color w:val="000000"/>
          <w:sz w:val="16"/>
          <w:szCs w:val="16"/>
          <w:rtl w:val="off"/>
          <w:lang w:val="en-US"/>
        </w:rPr>
        <w:t>The encoded variables included categorical features such as:</w:t>
      </w:r>
    </w:p>
    <w:p w14:paraId="00000088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16"/>
          <w:szCs w:val="16"/>
          <w:lang w:val="en-US"/>
        </w:rPr>
      </w:pPr>
      <w:r>
        <w:rPr>
          <w:rFonts w:ascii="Times New Roman" w:cs="Times New Roman" w:hAnsi="Times New Roman"/>
          <w:color w:val="000000"/>
          <w:sz w:val="16"/>
          <w:szCs w:val="16"/>
          <w:rtl w:val="off"/>
          <w:lang w:val="en-US"/>
        </w:rPr>
        <w:t>Gender</w:t>
      </w:r>
    </w:p>
    <w:p w14:paraId="00000089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16"/>
          <w:szCs w:val="16"/>
          <w:lang w:val="en-US"/>
        </w:rPr>
      </w:pPr>
      <w:r>
        <w:rPr>
          <w:rFonts w:ascii="Times New Roman" w:cs="Times New Roman" w:hAnsi="Times New Roman"/>
          <w:color w:val="000000"/>
          <w:sz w:val="16"/>
          <w:szCs w:val="16"/>
          <w:rtl w:val="off"/>
          <w:lang w:val="en-US"/>
        </w:rPr>
        <w:t>Partner</w:t>
      </w:r>
    </w:p>
    <w:p w14:paraId="0000008A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16"/>
          <w:szCs w:val="16"/>
          <w:lang w:val="en-US"/>
        </w:rPr>
      </w:pPr>
      <w:r>
        <w:rPr>
          <w:rFonts w:ascii="Times New Roman" w:cs="Times New Roman" w:hAnsi="Times New Roman"/>
          <w:color w:val="000000"/>
          <w:sz w:val="16"/>
          <w:szCs w:val="16"/>
          <w:rtl w:val="off"/>
          <w:lang w:val="en-US"/>
        </w:rPr>
        <w:t>Dependents</w:t>
      </w:r>
    </w:p>
    <w:p w14:paraId="0000008B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16"/>
          <w:szCs w:val="16"/>
          <w:lang w:val="en-US"/>
        </w:rPr>
      </w:pPr>
      <w:r>
        <w:rPr>
          <w:rFonts w:ascii="Times New Roman" w:cs="Times New Roman" w:hAnsi="Times New Roman"/>
          <w:color w:val="000000"/>
          <w:sz w:val="16"/>
          <w:szCs w:val="16"/>
          <w:rtl w:val="off"/>
          <w:lang w:val="en-US"/>
        </w:rPr>
        <w:t>PhoneService</w:t>
      </w:r>
    </w:p>
    <w:p w14:paraId="0000008C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16"/>
          <w:szCs w:val="16"/>
          <w:lang w:val="en-US"/>
        </w:rPr>
      </w:pPr>
      <w:r>
        <w:rPr>
          <w:rFonts w:ascii="Times New Roman" w:cs="Times New Roman" w:hAnsi="Times New Roman"/>
          <w:color w:val="000000"/>
          <w:sz w:val="16"/>
          <w:szCs w:val="16"/>
          <w:rtl w:val="off"/>
          <w:lang w:val="en-US"/>
        </w:rPr>
        <w:t>MultipleLines</w:t>
      </w:r>
    </w:p>
    <w:p w14:paraId="0000008D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16"/>
          <w:szCs w:val="16"/>
          <w:lang w:val="en-US"/>
        </w:rPr>
      </w:pPr>
      <w:r>
        <w:rPr>
          <w:rFonts w:ascii="Times New Roman" w:cs="Times New Roman" w:hAnsi="Times New Roman"/>
          <w:color w:val="000000"/>
          <w:sz w:val="16"/>
          <w:szCs w:val="16"/>
          <w:rtl w:val="off"/>
          <w:lang w:val="en-US"/>
        </w:rPr>
        <w:t>InternetService</w:t>
      </w:r>
    </w:p>
    <w:p w14:paraId="0000008E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16"/>
          <w:szCs w:val="16"/>
          <w:lang w:val="en-US"/>
        </w:rPr>
      </w:pPr>
      <w:r>
        <w:rPr>
          <w:rFonts w:ascii="Times New Roman" w:cs="Times New Roman" w:hAnsi="Times New Roman"/>
          <w:color w:val="000000"/>
          <w:sz w:val="16"/>
          <w:szCs w:val="16"/>
          <w:rtl w:val="off"/>
          <w:lang w:val="en-US"/>
        </w:rPr>
        <w:t>OnlineSecurity</w:t>
      </w:r>
    </w:p>
    <w:p w14:paraId="0000008F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16"/>
          <w:szCs w:val="16"/>
          <w:lang w:val="en-US"/>
        </w:rPr>
      </w:pPr>
      <w:r>
        <w:rPr>
          <w:rFonts w:ascii="Times New Roman" w:cs="Times New Roman" w:hAnsi="Times New Roman"/>
          <w:color w:val="000000"/>
          <w:sz w:val="16"/>
          <w:szCs w:val="16"/>
          <w:rtl w:val="off"/>
          <w:lang w:val="en-US"/>
        </w:rPr>
        <w:t>OnlineBackup</w:t>
      </w:r>
    </w:p>
    <w:p w14:paraId="00000090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16"/>
          <w:szCs w:val="16"/>
          <w:lang w:val="en-US"/>
        </w:rPr>
      </w:pPr>
      <w:r>
        <w:rPr>
          <w:rFonts w:ascii="Times New Roman" w:cs="Times New Roman" w:hAnsi="Times New Roman"/>
          <w:color w:val="000000"/>
          <w:sz w:val="16"/>
          <w:szCs w:val="16"/>
          <w:rtl w:val="off"/>
          <w:lang w:val="en-US"/>
        </w:rPr>
        <w:t>DeviceProtection</w:t>
      </w:r>
    </w:p>
    <w:p w14:paraId="00000091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16"/>
          <w:szCs w:val="16"/>
          <w:lang w:val="en-US"/>
        </w:rPr>
      </w:pPr>
      <w:r>
        <w:rPr>
          <w:rFonts w:ascii="Times New Roman" w:cs="Times New Roman" w:hAnsi="Times New Roman"/>
          <w:color w:val="000000"/>
          <w:sz w:val="16"/>
          <w:szCs w:val="16"/>
          <w:rtl w:val="off"/>
          <w:lang w:val="en-US"/>
        </w:rPr>
        <w:t>TechSupport</w:t>
      </w:r>
    </w:p>
    <w:p w14:paraId="00000092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16"/>
          <w:szCs w:val="16"/>
          <w:lang w:val="en-US"/>
        </w:rPr>
      </w:pPr>
      <w:r>
        <w:rPr>
          <w:rFonts w:ascii="Times New Roman" w:cs="Times New Roman" w:hAnsi="Times New Roman"/>
          <w:color w:val="000000"/>
          <w:sz w:val="16"/>
          <w:szCs w:val="16"/>
          <w:rtl w:val="off"/>
          <w:lang w:val="en-US"/>
        </w:rPr>
        <w:t>StreamingTV</w:t>
      </w:r>
    </w:p>
    <w:p w14:paraId="00000093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16"/>
          <w:szCs w:val="16"/>
          <w:lang w:val="en-US"/>
        </w:rPr>
      </w:pPr>
      <w:r>
        <w:rPr>
          <w:rFonts w:ascii="Times New Roman" w:cs="Times New Roman" w:hAnsi="Times New Roman"/>
          <w:color w:val="000000"/>
          <w:sz w:val="16"/>
          <w:szCs w:val="16"/>
          <w:rtl w:val="off"/>
          <w:lang w:val="en-US"/>
        </w:rPr>
        <w:t>StreamingMovies</w:t>
      </w:r>
    </w:p>
    <w:p w14:paraId="00000094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16"/>
          <w:szCs w:val="16"/>
          <w:lang w:val="en-US"/>
        </w:rPr>
      </w:pPr>
      <w:r>
        <w:rPr>
          <w:rFonts w:ascii="Times New Roman" w:cs="Times New Roman" w:hAnsi="Times New Roman"/>
          <w:color w:val="000000"/>
          <w:sz w:val="16"/>
          <w:szCs w:val="16"/>
          <w:rtl w:val="off"/>
          <w:lang w:val="en-US"/>
        </w:rPr>
        <w:t>PaperlessBilling</w:t>
      </w:r>
    </w:p>
    <w:p w14:paraId="00000095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16"/>
          <w:szCs w:val="16"/>
          <w:lang w:val="en-US"/>
        </w:rPr>
      </w:pPr>
      <w:r>
        <w:rPr>
          <w:rFonts w:ascii="Times New Roman" w:cs="Times New Roman" w:hAnsi="Times New Roman"/>
          <w:color w:val="000000"/>
          <w:sz w:val="16"/>
          <w:szCs w:val="16"/>
          <w:rtl w:val="off"/>
          <w:lang w:val="en-US"/>
        </w:rPr>
        <w:t>PaymentMethod</w:t>
      </w:r>
    </w:p>
    <w:p w14:paraId="0000009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16"/>
          <w:szCs w:val="16"/>
          <w:lang w:val="en-US"/>
        </w:rPr>
      </w:pPr>
      <w:r>
        <w:rPr>
          <w:rFonts w:ascii="Times New Roman" w:cs="Times New Roman" w:hAnsi="Times New Roman"/>
          <w:color w:val="000000"/>
          <w:sz w:val="16"/>
          <w:szCs w:val="16"/>
          <w:rtl w:val="off"/>
          <w:lang w:val="en-US"/>
        </w:rPr>
        <w:t>drop_first=True</w:t>
      </w:r>
      <w:r>
        <w:rPr>
          <w:rFonts w:ascii="Times New Roman" w:cs="Times New Roman" w:hAnsi="Times New Roman"/>
          <w:color w:val="000000"/>
          <w:sz w:val="16"/>
          <w:szCs w:val="16"/>
          <w:rtl w:val="off"/>
          <w:lang w:val="en-US"/>
        </w:rPr>
        <w:t xml:space="preserve"> was used to reduce redundant dummy variables. The resulting Boolean values were converted into integer 0/1 indicators.</w:t>
      </w:r>
      <w:r>
        <w:rPr>
          <w:rFonts w:ascii="Times New Roman" w:cs="Times New Roman" w:hAnsi="Times New Roman"/>
          <w:color w:val="000000"/>
          <w:sz w:val="16"/>
          <w:szCs w:val="16"/>
          <w:lang w:val="en-US"/>
        </w:rPr>
        <w:br w:type="textWrapping"/>
      </w:r>
    </w:p>
    <w:p w14:paraId="0000009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center"/>
        <w:rPr>
          <w:rFonts w:ascii="Times New Roman" w:cs="Times New Roman" w:hAnsi="Times New Roman"/>
          <w:color w:val="000000"/>
          <w:sz w:val="32"/>
          <w:szCs w:val="32"/>
          <w:u w:val="single"/>
          <w:lang w:val="en-US"/>
        </w:rPr>
      </w:pPr>
      <w:r>
        <w:rPr>
          <w:rFonts w:ascii="Times New Roman" w:cs="Times New Roman" w:hAnsi="Times New Roman"/>
          <w:color w:val="000000"/>
          <w:sz w:val="32"/>
          <w:szCs w:val="32"/>
          <w:u w:val="single"/>
          <w:rtl w:val="off"/>
          <w:lang w:val="en-US"/>
        </w:rPr>
        <w:t>6. Feature Scaling</w:t>
      </w:r>
    </w:p>
    <w:p w14:paraId="0000009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The numerical variables were standardized using </w:t>
      </w:r>
      <w:r>
        <w:rPr>
          <w:rFonts w:ascii="Times New Roman" w:cs="Times New Roman" w:hAnsi="Times New Roman"/>
          <w:b/>
          <w:color w:val="000000"/>
          <w:sz w:val="24"/>
          <w:szCs w:val="24"/>
          <w:rtl w:val="off"/>
          <w:lang w:val="en-US"/>
        </w:rPr>
        <w:t>StandardScaler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.</w:t>
      </w:r>
    </w:p>
    <w:p w14:paraId="0000009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The following variables were scaled:</w:t>
      </w:r>
    </w:p>
    <w:p w14:paraId="0000009A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tenure</w:t>
      </w:r>
    </w:p>
    <w:p w14:paraId="0000009B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MonthlyCharges</w:t>
      </w:r>
    </w:p>
    <w:p w14:paraId="0000009C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TotalCharges</w:t>
      </w:r>
    </w:p>
    <w:p w14:paraId="0000009D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Total Services</w:t>
      </w:r>
    </w:p>
    <w:p w14:paraId="0000009E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Avg_Monthly_Ratio</w:t>
      </w:r>
    </w:p>
    <w:p w14:paraId="0000009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Standardization applies the transformation:</w:t>
      </w:r>
    </w:p>
    <w:p w14:paraId="000000A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[</w:t>
      </w: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z = \frac{x-\mu}{\sigma}</w:t>
      </w: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]</w:t>
      </w:r>
    </w:p>
    <w:p w14:paraId="000000A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where (x) represents the original value, (\mu) is the mean, and (\sigma) is the standard deviation.</w:t>
      </w:r>
    </w:p>
    <w:p w14:paraId="000000A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The resulting numerical variables had approximately:</w:t>
      </w:r>
    </w:p>
    <w:p w14:paraId="000000A3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Mean = 0</w:t>
      </w:r>
    </w:p>
    <w:p w14:paraId="000000A4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Standard deviation = 1</w:t>
      </w:r>
    </w:p>
    <w:p w14:paraId="000000A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The notebook confirms that the five selected numerical variables were standardized and that the resulting dataset contained 7,043 rows and 27 columns.</w:t>
      </w:r>
    </w:p>
    <w:p w14:paraId="000000A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Scaling Consideration</w:t>
      </w:r>
    </w:p>
    <w:p w14:paraId="000000A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For the subsequent model-development phase, the scaler should be fitted using only the training data and then applied to validation/test data. This prevents information from the test set from influencing the preprocessing process.</w:t>
      </w:r>
    </w:p>
    <w:p w14:paraId="000000A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0A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center"/>
        <w:rPr>
          <w:rFonts w:ascii="Times New Roman" w:cs="Times New Roman" w:hAnsi="Times New Roman"/>
          <w:color w:val="000000"/>
          <w:sz w:val="32"/>
          <w:szCs w:val="32"/>
          <w:u w:val="single"/>
          <w:lang w:val="en-US"/>
        </w:rPr>
      </w:pPr>
      <w:r>
        <w:rPr>
          <w:rFonts w:ascii="Times New Roman" w:cs="Times New Roman" w:hAnsi="Times New Roman"/>
          <w:color w:val="000000"/>
          <w:sz w:val="32"/>
          <w:szCs w:val="32"/>
          <w:u w:val="single"/>
          <w:rtl w:val="off"/>
          <w:lang w:val="en-US"/>
        </w:rPr>
        <w:t>7. Outlier Detection</w:t>
      </w:r>
    </w:p>
    <w:p w14:paraId="000000A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Outlier detection was performed using the </w:t>
      </w:r>
      <w:r>
        <w:rPr>
          <w:rFonts w:ascii="Times New Roman" w:cs="Times New Roman" w:hAnsi="Times New Roman"/>
          <w:b/>
          <w:color w:val="000000"/>
          <w:sz w:val="24"/>
          <w:szCs w:val="24"/>
          <w:rtl w:val="off"/>
          <w:lang w:val="en-US"/>
        </w:rPr>
        <w:t>Interquartile Range (IQR)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method.</w:t>
      </w:r>
    </w:p>
    <w:p w14:paraId="000000A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For each selected numerical variable:</w:t>
      </w:r>
    </w:p>
    <w:p w14:paraId="000000A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[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IQR = Q3-Q1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]</w:t>
      </w:r>
    </w:p>
    <w:p w14:paraId="000000A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The lower and upper boundaries were calculated as:</w:t>
      </w:r>
    </w:p>
    <w:p w14:paraId="000000A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[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Lower\ Bound = Q1 - 1.5(IQR)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]</w:t>
      </w:r>
    </w:p>
    <w:p w14:paraId="000000A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[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Upper\ Bound = Q3 + 1.5(IQR)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]</w:t>
      </w:r>
    </w:p>
    <w:p w14:paraId="000000B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The following variables were examined:</w:t>
      </w:r>
    </w:p>
    <w:p w14:paraId="000000B1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tenure</w:t>
      </w:r>
    </w:p>
    <w:p w14:paraId="000000B2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MonthlyCharges</w:t>
      </w:r>
    </w:p>
    <w:p w14:paraId="000000B3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TotalCharges</w:t>
      </w:r>
    </w:p>
    <w:p w14:paraId="000000B4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Total Services</w:t>
      </w:r>
    </w:p>
    <w:p w14:paraId="000000B5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Avg_Monthly_Ratio</w:t>
      </w:r>
    </w:p>
    <w:p w14:paraId="000000B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The notebook's IQR analysis detected </w:t>
      </w:r>
      <w:r>
        <w:rPr>
          <w:rFonts w:ascii="Times New Roman" w:cs="Times New Roman" w:hAnsi="Times New Roman"/>
          <w:b/>
          <w:color w:val="000000"/>
          <w:sz w:val="24"/>
          <w:szCs w:val="24"/>
          <w:rtl w:val="off"/>
          <w:lang w:val="en-US"/>
        </w:rPr>
        <w:t>zero outliers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for each of these five variables. Therefore, no observations were removed or modified as outliers.</w:t>
      </w:r>
    </w:p>
    <w:p w14:paraId="000000B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This decision preserves the full dataset while documenting that an explicit outlier detection procedure was performed.</w:t>
      </w:r>
    </w:p>
    <w:p w14:paraId="000000B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36"/>
          <w:szCs w:val="36"/>
          <w:rtl w:val="off"/>
          <w:lang w:val="en-US"/>
        </w:rPr>
      </w:pPr>
    </w:p>
    <w:p w14:paraId="000000B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center"/>
        <w:rPr>
          <w:rFonts w:ascii="Times New Roman" w:cs="Times New Roman" w:hAnsi="Times New Roman"/>
          <w:color w:val="000000"/>
          <w:sz w:val="36"/>
          <w:szCs w:val="36"/>
          <w:u w:val="single"/>
          <w:lang w:val="en-US"/>
        </w:rPr>
      </w:pPr>
      <w:r>
        <w:rPr>
          <w:rFonts w:ascii="Times New Roman" w:cs="Times New Roman" w:hAnsi="Times New Roman"/>
          <w:color w:val="000000"/>
          <w:sz w:val="36"/>
          <w:szCs w:val="36"/>
          <w:u w:val="single"/>
          <w:rtl w:val="off"/>
          <w:lang w:val="en-US"/>
        </w:rPr>
        <w:t>8. Feature Selection and Correlation Analysis</w:t>
      </w:r>
    </w:p>
    <w:p w14:paraId="000000B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Correlation analysis was used as an initial feature-selection technique to identify variables with stronger linear relationships with the churn target.</w:t>
      </w:r>
    </w:p>
    <w:p w14:paraId="000000B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The strongest positive correlations with churn in the processed dataset included:</w:t>
      </w:r>
    </w:p>
    <w:tbl>
      <w:tblPr>
        <w:bidiVisual w:val="off"/>
        <w:tblW w:w="3392" w:type="dxa"/>
        <w:jc w:val="left"/>
        <w:tblLayout w:type="fixed"/>
        <w:tblCellMar>
          <w:top w:w="10" w:type="dxa"/>
          <w:left w:w="10" w:type="dxa"/>
          <w:bottom w:w="10" w:type="dxa"/>
          <w:right w:w="10" w:type="dxa"/>
        </w:tblCellMar>
      </w:tblPr>
      <w:tblGrid>
        <w:gridCol w:w="1680"/>
        <w:gridCol w:w="1712"/>
      </w:tblGrid>
      <w:tr>
        <w:trPr>
          <w:wBefore w:w="0" w:type="dxa"/>
          <w:jc w:val="left"/>
        </w:trPr>
        <w:tc>
          <w:tcPr>
            <w:cnfStyle w:val="100010000000"/>
            <w:tcW w:w="1680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BC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Feature</w:t>
            </w:r>
          </w:p>
        </w:tc>
        <w:tc>
          <w:tcPr>
            <w:cnfStyle w:val="100001000000"/>
            <w:tcW w:w="1712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BD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Correlation with Churn</w:t>
            </w:r>
          </w:p>
        </w:tc>
      </w:tr>
      <w:tr>
        <w:trPr>
          <w:wBefore w:w="0" w:type="dxa"/>
          <w:jc w:val="left"/>
        </w:trPr>
        <w:tc>
          <w:tcPr>
            <w:cnfStyle w:val="000010000000"/>
            <w:tcW w:w="1680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BE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InternetService_Fiber optic</w:t>
            </w:r>
          </w:p>
        </w:tc>
        <w:tc>
          <w:tcPr>
            <w:cnfStyle w:val="000001000000"/>
            <w:tcW w:w="1712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BF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0.308020</w:t>
            </w:r>
          </w:p>
        </w:tc>
      </w:tr>
      <w:tr>
        <w:trPr>
          <w:wBefore w:w="0" w:type="dxa"/>
          <w:jc w:val="left"/>
        </w:trPr>
        <w:tc>
          <w:tcPr>
            <w:cnfStyle w:val="000010000000"/>
            <w:tcW w:w="1680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C0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PaymentMethod_Electronic check</w:t>
            </w:r>
          </w:p>
        </w:tc>
        <w:tc>
          <w:tcPr>
            <w:cnfStyle w:val="000001000000"/>
            <w:tcW w:w="1712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C1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0.301919</w:t>
            </w:r>
          </w:p>
        </w:tc>
      </w:tr>
      <w:tr>
        <w:trPr>
          <w:wBefore w:w="0" w:type="dxa"/>
          <w:jc w:val="left"/>
        </w:trPr>
        <w:tc>
          <w:tcPr>
            <w:cnfStyle w:val="000010000000"/>
            <w:tcW w:w="1680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C2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MonthlyCharges</w:t>
            </w:r>
          </w:p>
        </w:tc>
        <w:tc>
          <w:tcPr>
            <w:cnfStyle w:val="000001000000"/>
            <w:tcW w:w="1712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C3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0.193356</w:t>
            </w:r>
          </w:p>
        </w:tc>
      </w:tr>
      <w:tr>
        <w:trPr>
          <w:wBefore w:w="0" w:type="dxa"/>
          <w:jc w:val="left"/>
        </w:trPr>
        <w:tc>
          <w:tcPr>
            <w:cnfStyle w:val="000010000000"/>
            <w:tcW w:w="1680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C4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PaperlessBilling_Yes</w:t>
            </w:r>
          </w:p>
        </w:tc>
        <w:tc>
          <w:tcPr>
            <w:cnfStyle w:val="000001000000"/>
            <w:tcW w:w="1712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C5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0.191825</w:t>
            </w:r>
          </w:p>
        </w:tc>
      </w:tr>
    </w:tbl>
    <w:p w14:paraId="000000C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The strongest negative relationships included:</w:t>
      </w:r>
    </w:p>
    <w:tbl>
      <w:tblPr>
        <w:bidiVisual w:val="off"/>
        <w:tblW w:w="4848" w:type="dxa"/>
        <w:jc w:val="left"/>
        <w:tblLayout w:type="fixed"/>
        <w:tblCellMar>
          <w:top w:w="10" w:type="dxa"/>
          <w:left w:w="10" w:type="dxa"/>
          <w:bottom w:w="10" w:type="dxa"/>
          <w:right w:w="10" w:type="dxa"/>
        </w:tblCellMar>
      </w:tblPr>
      <w:tblGrid>
        <w:gridCol w:w="2052"/>
        <w:gridCol w:w="2796"/>
      </w:tblGrid>
      <w:tr>
        <w:trPr>
          <w:wBefore w:w="0" w:type="dxa"/>
          <w:jc w:val="left"/>
        </w:trPr>
        <w:tc>
          <w:tcPr>
            <w:cnfStyle w:val="100010000000"/>
            <w:tcW w:w="2052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C7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Feature</w:t>
            </w:r>
          </w:p>
        </w:tc>
        <w:tc>
          <w:tcPr>
            <w:cnfStyle w:val="100001000000"/>
            <w:tcW w:w="2796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C8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Correlation with Churn</w:t>
            </w:r>
          </w:p>
        </w:tc>
      </w:tr>
      <w:tr>
        <w:trPr>
          <w:wBefore w:w="0" w:type="dxa"/>
          <w:jc w:val="left"/>
        </w:trPr>
        <w:tc>
          <w:tcPr>
            <w:cnfStyle w:val="000010000000"/>
            <w:tcW w:w="2052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C9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Encoded_Contract</w:t>
            </w:r>
          </w:p>
        </w:tc>
        <w:tc>
          <w:tcPr>
            <w:cnfStyle w:val="000001000000"/>
            <w:tcW w:w="2796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CA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-0.396713</w:t>
            </w:r>
          </w:p>
        </w:tc>
      </w:tr>
      <w:tr>
        <w:trPr>
          <w:wBefore w:w="0" w:type="dxa"/>
          <w:jc w:val="left"/>
        </w:trPr>
        <w:tc>
          <w:tcPr>
            <w:cnfStyle w:val="000010000000"/>
            <w:tcW w:w="2052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CB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tenure</w:t>
            </w:r>
          </w:p>
        </w:tc>
        <w:tc>
          <w:tcPr>
            <w:cnfStyle w:val="000001000000"/>
            <w:tcW w:w="2796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CC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-0.352229</w:t>
            </w:r>
          </w:p>
        </w:tc>
      </w:tr>
      <w:tr>
        <w:trPr>
          <w:wBefore w:w="0" w:type="dxa"/>
          <w:jc w:val="left"/>
        </w:trPr>
        <w:tc>
          <w:tcPr>
            <w:cnfStyle w:val="000010000000"/>
            <w:tcW w:w="2052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CD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InternetService_No</w:t>
            </w:r>
          </w:p>
        </w:tc>
        <w:tc>
          <w:tcPr>
            <w:cnfStyle w:val="000001000000"/>
            <w:tcW w:w="2796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CE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-0.227890</w:t>
            </w:r>
          </w:p>
        </w:tc>
      </w:tr>
      <w:tr>
        <w:trPr>
          <w:wBefore w:w="0" w:type="dxa"/>
          <w:jc w:val="left"/>
        </w:trPr>
        <w:tc>
          <w:tcPr>
            <w:cnfStyle w:val="000010000000"/>
            <w:tcW w:w="2052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CF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Automatic_Payment</w:t>
            </w:r>
          </w:p>
        </w:tc>
        <w:tc>
          <w:tcPr>
            <w:cnfStyle w:val="000001000000"/>
            <w:tcW w:w="2796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D0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-0.209902</w:t>
            </w:r>
          </w:p>
        </w:tc>
      </w:tr>
      <w:tr>
        <w:trPr>
          <w:wBefore w:w="0" w:type="dxa"/>
          <w:jc w:val="left"/>
        </w:trPr>
        <w:tc>
          <w:tcPr>
            <w:cnfStyle w:val="000010000000"/>
            <w:tcW w:w="2052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D1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TotalCharges</w:t>
            </w:r>
          </w:p>
        </w:tc>
        <w:tc>
          <w:tcPr>
            <w:cnfStyle w:val="000001000000"/>
            <w:tcW w:w="2796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D2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-0.199484</w:t>
            </w:r>
          </w:p>
        </w:tc>
      </w:tr>
    </w:tbl>
    <w:p w14:paraId="000000D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These results suggest that contract structure and customer tenure have particularly important relationships with churn in this dataset.</w:t>
      </w:r>
    </w:p>
    <w:p w14:paraId="000000D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Important Interpretation</w:t>
      </w:r>
    </w:p>
    <w:p w14:paraId="000000D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Correlation does </w:t>
      </w:r>
      <w:r>
        <w:rPr>
          <w:rFonts w:ascii="Times New Roman" w:cs="Times New Roman" w:hAnsi="Times New Roman"/>
          <w:b/>
          <w:color w:val="000000"/>
          <w:sz w:val="24"/>
          <w:szCs w:val="24"/>
          <w:rtl w:val="off"/>
          <w:lang w:val="en-US"/>
        </w:rPr>
        <w:t>not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prove causation. Therefore, these results should be treated as indicators of association rather than proof that a particular feature directly causes a customer to churn.</w:t>
      </w:r>
    </w:p>
    <w:p w14:paraId="000000D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Feature importance from trained models can provide additional evidence during the model-development phase.</w:t>
      </w:r>
    </w:p>
    <w:p w14:paraId="000000D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br w:type="textWrapping"/>
      </w:r>
    </w:p>
    <w:p w14:paraId="000000D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center"/>
        <w:rPr>
          <w:rFonts w:ascii="Times New Roman" w:cs="Times New Roman" w:hAnsi="Times New Roman"/>
          <w:color w:val="000000"/>
          <w:sz w:val="36"/>
          <w:szCs w:val="36"/>
          <w:u w:val="single"/>
          <w:lang w:val="en-US"/>
        </w:rPr>
      </w:pPr>
      <w:r>
        <w:rPr>
          <w:rFonts w:ascii="Times New Roman" w:cs="Times New Roman" w:hAnsi="Times New Roman"/>
          <w:color w:val="000000"/>
          <w:sz w:val="36"/>
          <w:szCs w:val="36"/>
          <w:u w:val="single"/>
          <w:rtl w:val="off"/>
          <w:lang w:val="en-US"/>
        </w:rPr>
        <w:t>9. Final Machine-Learning-Ready Dataset</w:t>
      </w:r>
    </w:p>
    <w:p w14:paraId="000000D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After preprocessing, feature engineering, encoding, and scaling, the final dataset contained:</w:t>
      </w:r>
    </w:p>
    <w:p w14:paraId="000000DA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  <w:rtl w:val="off"/>
          <w:lang w:val="en-US"/>
        </w:rPr>
        <w:t>Rows: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7,043</w:t>
      </w:r>
    </w:p>
    <w:p w14:paraId="000000DB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  <w:rtl w:val="off"/>
          <w:lang w:val="en-US"/>
        </w:rPr>
        <w:t>Columns: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27</w:t>
      </w:r>
    </w:p>
    <w:p w14:paraId="000000D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The final dataset was saved as:</w:t>
      </w:r>
    </w:p>
    <w:p w14:paraId="000000D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  <w:rtl w:val="off"/>
          <w:lang w:val="en-US"/>
        </w:rPr>
        <w:t>Telco_Customer_Churn_ML_Ready.csv</w:t>
      </w:r>
    </w:p>
    <w:p w14:paraId="000000D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The notebook confirms successful creation of the processed dataset with these dimensions.</w:t>
      </w:r>
    </w:p>
    <w:p w14:paraId="000000D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The final dataset contains numerical representations of the original categorical variables, engineered customer-level features, standardized numerical variables, and the binary churn target.</w:t>
      </w:r>
    </w:p>
    <w:p w14:paraId="000000E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center"/>
        <w:rPr>
          <w:rFonts w:ascii="Times New Roman" w:cs="Times New Roman" w:hAnsi="Times New Roman"/>
          <w:color w:val="000000"/>
          <w:sz w:val="36"/>
          <w:szCs w:val="36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32"/>
          <w:szCs w:val="32"/>
          <w:u w:val="single"/>
          <w:rtl w:val="off"/>
          <w:lang w:val="en-US"/>
        </w:rPr>
        <w:t>10. Summary of Preprocessing Decisions</w:t>
      </w:r>
    </w:p>
    <w:tbl>
      <w:tblPr>
        <w:bidiVisual w:val="off"/>
        <w:tblW w:w="9816" w:type="dxa"/>
        <w:jc w:val="left"/>
        <w:tblInd w:w="-240" w:type="dxa"/>
        <w:tblLayout w:type="fixed"/>
        <w:tblCellMar>
          <w:top w:w="10" w:type="dxa"/>
          <w:left w:w="10" w:type="dxa"/>
          <w:bottom w:w="10" w:type="dxa"/>
          <w:right w:w="10" w:type="dxa"/>
        </w:tblCellMar>
      </w:tblPr>
      <w:tblGrid>
        <w:gridCol w:w="2700"/>
        <w:gridCol w:w="3804"/>
        <w:gridCol w:w="3312"/>
      </w:tblGrid>
      <w:tr>
        <w:trPr>
          <w:wBefore w:w="0" w:type="dxa"/>
          <w:jc w:val="left"/>
        </w:trPr>
        <w:tc>
          <w:tcPr>
            <w:cnfStyle w:val="100010000000"/>
            <w:tcW w:w="2700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E1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hanging="12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Preprocessing Task</w:t>
            </w:r>
          </w:p>
        </w:tc>
        <w:tc>
          <w:tcPr>
            <w:cnfStyle w:val="100001000000"/>
            <w:tcW w:w="3804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E2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hanging="12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Decision</w:t>
            </w:r>
          </w:p>
        </w:tc>
        <w:tc>
          <w:tcPr>
            <w:cnfStyle w:val="100010000000"/>
            <w:tcW w:w="3312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E3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hanging="12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Reason</w:t>
            </w:r>
          </w:p>
        </w:tc>
      </w:tr>
      <w:tr>
        <w:trPr>
          <w:wBefore w:w="0" w:type="dxa"/>
          <w:jc w:val="left"/>
        </w:trPr>
        <w:tc>
          <w:tcPr>
            <w:cnfStyle w:val="000010000000"/>
            <w:tcW w:w="2700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E4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Missing values</w:t>
            </w:r>
          </w:p>
        </w:tc>
        <w:tc>
          <w:tcPr>
            <w:cnfStyle w:val="000001000000"/>
            <w:tcW w:w="3804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E5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 xml:space="preserve">Converted blank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TotalCharges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values to numerical missing values and treated zero-tenure cases as 0</w:t>
            </w:r>
          </w:p>
        </w:tc>
        <w:tc>
          <w:tcPr>
            <w:cnfStyle w:val="000010000000"/>
            <w:tcW w:w="3312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E6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Reflects zero accumulated charges for new customers</w:t>
            </w:r>
          </w:p>
        </w:tc>
      </w:tr>
      <w:tr>
        <w:trPr>
          <w:wBefore w:w="0" w:type="dxa"/>
          <w:jc w:val="left"/>
        </w:trPr>
        <w:tc>
          <w:tcPr>
            <w:cnfStyle w:val="000010000000"/>
            <w:tcW w:w="2700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E7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Duplicate records</w:t>
            </w:r>
          </w:p>
        </w:tc>
        <w:tc>
          <w:tcPr>
            <w:cnfStyle w:val="000001000000"/>
            <w:tcW w:w="3804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E8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No removal required</w:t>
            </w:r>
          </w:p>
        </w:tc>
        <w:tc>
          <w:tcPr>
            <w:cnfStyle w:val="000010000000"/>
            <w:tcW w:w="3312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E9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No duplicate records were detected</w:t>
            </w:r>
          </w:p>
        </w:tc>
      </w:tr>
      <w:tr>
        <w:trPr>
          <w:wBefore w:w="0" w:type="dxa"/>
          <w:jc w:val="left"/>
        </w:trPr>
        <w:tc>
          <w:tcPr>
            <w:cnfStyle w:val="000010000000"/>
            <w:tcW w:w="2700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EA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Data type correction</w:t>
            </w:r>
          </w:p>
        </w:tc>
        <w:tc>
          <w:tcPr>
            <w:cnfStyle w:val="000001000000"/>
            <w:tcW w:w="3804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EB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 xml:space="preserve">Converted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TotalCharges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to numeric</w:t>
            </w:r>
          </w:p>
        </w:tc>
        <w:tc>
          <w:tcPr>
            <w:cnfStyle w:val="000010000000"/>
            <w:tcW w:w="3312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EC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Required for numerical analysis and ML</w:t>
            </w:r>
          </w:p>
        </w:tc>
      </w:tr>
      <w:tr>
        <w:trPr>
          <w:wBefore w:w="0" w:type="dxa"/>
          <w:jc w:val="left"/>
        </w:trPr>
        <w:tc>
          <w:tcPr>
            <w:cnfStyle w:val="000010000000"/>
            <w:tcW w:w="2700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ED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Inconsistent values</w:t>
            </w:r>
          </w:p>
        </w:tc>
        <w:tc>
          <w:tcPr>
            <w:cnfStyle w:val="000001000000"/>
            <w:tcW w:w="3804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EE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 xml:space="preserve">Standardized service-related "No..." categories to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No</w:t>
            </w:r>
          </w:p>
        </w:tc>
        <w:tc>
          <w:tcPr>
            <w:cnfStyle w:val="000010000000"/>
            <w:tcW w:w="3312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EF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Created consistent service indicators</w:t>
            </w:r>
          </w:p>
        </w:tc>
      </w:tr>
      <w:tr>
        <w:trPr>
          <w:wBefore w:w="0" w:type="dxa"/>
          <w:jc w:val="left"/>
        </w:trPr>
        <w:tc>
          <w:tcPr>
            <w:cnfStyle w:val="000010000000"/>
            <w:tcW w:w="2700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F0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Identifier</w:t>
            </w:r>
          </w:p>
        </w:tc>
        <w:tc>
          <w:tcPr>
            <w:cnfStyle w:val="000001000000"/>
            <w:tcW w:w="3804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F1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 xml:space="preserve">Removed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customerID</w:t>
            </w:r>
          </w:p>
        </w:tc>
        <w:tc>
          <w:tcPr>
            <w:cnfStyle w:val="000010000000"/>
            <w:tcW w:w="3312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F2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Identifier has no meaningful predictive role</w:t>
            </w:r>
          </w:p>
        </w:tc>
      </w:tr>
      <w:tr>
        <w:trPr>
          <w:wBefore w:w="0" w:type="dxa"/>
          <w:jc w:val="left"/>
        </w:trPr>
        <w:tc>
          <w:tcPr>
            <w:cnfStyle w:val="000010000000"/>
            <w:tcW w:w="2700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F3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Feature engineering</w:t>
            </w:r>
          </w:p>
        </w:tc>
        <w:tc>
          <w:tcPr>
            <w:cnfStyle w:val="000001000000"/>
            <w:tcW w:w="3804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F4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Created four additional features</w:t>
            </w:r>
          </w:p>
        </w:tc>
        <w:tc>
          <w:tcPr>
            <w:cnfStyle w:val="000010000000"/>
            <w:tcW w:w="3312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F5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Capture service, billing, payment, and household information</w:t>
            </w:r>
          </w:p>
        </w:tc>
      </w:tr>
      <w:tr>
        <w:trPr>
          <w:wBefore w:w="0" w:type="dxa"/>
          <w:jc w:val="left"/>
        </w:trPr>
        <w:tc>
          <w:tcPr>
            <w:cnfStyle w:val="000010000000"/>
            <w:tcW w:w="2700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F6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Target encoding</w:t>
            </w:r>
          </w:p>
        </w:tc>
        <w:tc>
          <w:tcPr>
            <w:cnfStyle w:val="000001000000"/>
            <w:tcW w:w="3804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F7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No = 0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 xml:space="preserve">, 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Yes = 1</w:t>
            </w:r>
          </w:p>
        </w:tc>
        <w:tc>
          <w:tcPr>
            <w:cnfStyle w:val="000010000000"/>
            <w:tcW w:w="3312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F8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Required binary classification representation</w:t>
            </w:r>
          </w:p>
        </w:tc>
      </w:tr>
      <w:tr>
        <w:trPr>
          <w:wBefore w:w="0" w:type="dxa"/>
          <w:jc w:val="left"/>
        </w:trPr>
        <w:tc>
          <w:tcPr>
            <w:cnfStyle w:val="000010000000"/>
            <w:tcW w:w="2700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F9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Contract encoding</w:t>
            </w:r>
          </w:p>
        </w:tc>
        <w:tc>
          <w:tcPr>
            <w:cnfStyle w:val="000001000000"/>
            <w:tcW w:w="3804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FA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Ordinal encoding</w:t>
            </w:r>
          </w:p>
        </w:tc>
        <w:tc>
          <w:tcPr>
            <w:cnfStyle w:val="000010000000"/>
            <w:tcW w:w="3312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FB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Contract duration has an inherent order</w:t>
            </w:r>
          </w:p>
        </w:tc>
      </w:tr>
      <w:tr>
        <w:trPr>
          <w:wBefore w:w="0" w:type="dxa"/>
          <w:jc w:val="left"/>
        </w:trPr>
        <w:tc>
          <w:tcPr>
            <w:cnfStyle w:val="000010000000"/>
            <w:tcW w:w="2700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FC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Other categorical features</w:t>
            </w:r>
          </w:p>
        </w:tc>
        <w:tc>
          <w:tcPr>
            <w:cnfStyle w:val="000001000000"/>
            <w:tcW w:w="3804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FD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One-hot encoding</w:t>
            </w:r>
          </w:p>
        </w:tc>
        <w:tc>
          <w:tcPr>
            <w:cnfStyle w:val="000010000000"/>
            <w:tcW w:w="3312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FE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Appropriate for nominal categories</w:t>
            </w:r>
          </w:p>
        </w:tc>
      </w:tr>
      <w:tr>
        <w:trPr>
          <w:wBefore w:w="0" w:type="dxa"/>
          <w:jc w:val="left"/>
        </w:trPr>
        <w:tc>
          <w:tcPr>
            <w:cnfStyle w:val="000010000000"/>
            <w:tcW w:w="2700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0FF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Numerical scaling</w:t>
            </w:r>
          </w:p>
        </w:tc>
        <w:tc>
          <w:tcPr>
            <w:cnfStyle w:val="000001000000"/>
            <w:tcW w:w="3804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100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StandardScaler</w:t>
            </w:r>
          </w:p>
        </w:tc>
        <w:tc>
          <w:tcPr>
            <w:cnfStyle w:val="000010000000"/>
            <w:tcW w:w="3312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101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Places numerical variables on a comparable scale</w:t>
            </w:r>
          </w:p>
        </w:tc>
      </w:tr>
      <w:tr>
        <w:trPr>
          <w:wBefore w:w="0" w:type="dxa"/>
          <w:jc w:val="left"/>
        </w:trPr>
        <w:tc>
          <w:tcPr>
            <w:cnfStyle w:val="000010000000"/>
            <w:tcW w:w="2700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102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Outlier detection</w:t>
            </w:r>
          </w:p>
        </w:tc>
        <w:tc>
          <w:tcPr>
            <w:cnfStyle w:val="000001000000"/>
            <w:tcW w:w="3804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103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IQR method</w:t>
            </w:r>
          </w:p>
        </w:tc>
        <w:tc>
          <w:tcPr>
            <w:cnfStyle w:val="000010000000"/>
            <w:tcW w:w="3312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104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Provides a systematic method for identifying extreme observations</w:t>
            </w:r>
          </w:p>
        </w:tc>
      </w:tr>
      <w:tr>
        <w:trPr>
          <w:wBefore w:w="0" w:type="dxa"/>
          <w:jc w:val="left"/>
        </w:trPr>
        <w:tc>
          <w:tcPr>
            <w:cnfStyle w:val="000010000000"/>
            <w:tcW w:w="2700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105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Outlier treatment</w:t>
            </w:r>
          </w:p>
        </w:tc>
        <w:tc>
          <w:tcPr>
            <w:cnfStyle w:val="000001000000"/>
            <w:tcW w:w="3804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106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No removal required</w:t>
            </w:r>
          </w:p>
        </w:tc>
        <w:tc>
          <w:tcPr>
            <w:cnfStyle w:val="000010000000"/>
            <w:tcW w:w="3312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107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No outliers were detected using the implemented IQR procedure</w:t>
            </w:r>
          </w:p>
        </w:tc>
      </w:tr>
      <w:tr>
        <w:trPr>
          <w:wBefore w:w="0" w:type="dxa"/>
          <w:jc w:val="left"/>
        </w:trPr>
        <w:tc>
          <w:tcPr>
            <w:cnfStyle w:val="000010000000"/>
            <w:tcW w:w="2700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108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Feature selection</w:t>
            </w:r>
          </w:p>
        </w:tc>
        <w:tc>
          <w:tcPr>
            <w:cnfStyle w:val="000001000000"/>
            <w:tcW w:w="3804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109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Correlation analysis</w:t>
            </w:r>
          </w:p>
        </w:tc>
        <w:tc>
          <w:tcPr>
            <w:cnfStyle w:val="000010000000"/>
            <w:tcW w:w="3312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10A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Identified features associated with churn</w:t>
            </w:r>
          </w:p>
        </w:tc>
      </w:tr>
      <w:tr>
        <w:trPr>
          <w:wBefore w:w="0" w:type="dxa"/>
          <w:jc w:val="left"/>
        </w:trPr>
        <w:tc>
          <w:tcPr>
            <w:cnfStyle w:val="000010000000"/>
            <w:tcW w:w="2700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10B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Final output</w:t>
            </w:r>
          </w:p>
        </w:tc>
        <w:tc>
          <w:tcPr>
            <w:cnfStyle w:val="000001000000"/>
            <w:tcW w:w="3804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10C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7,043 × 27 dataset</w:t>
            </w:r>
          </w:p>
        </w:tc>
        <w:tc>
          <w:tcPr>
            <w:cnfStyle w:val="000010000000"/>
            <w:tcW w:w="3312" w:type="dxa"/>
            <w:tcBorders>
              <w:top w:val="none" w:sz="4" w:space="0"/>
              <w:left w:val="none" w:sz="4" w:space="0"/>
              <w:bottom w:val="none" w:sz="4" w:space="0"/>
              <w:right w:val="none" w:sz="4" w:space="0"/>
            </w:tcBorders>
            <w:vAlign w:val="top"/>
          </w:tcPr>
          <w:p w14:paraId="0000010D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Times New Roman" w:cs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rtl w:val="off"/>
                <w:lang w:val="en-US"/>
              </w:rPr>
              <w:t>Ready for subsequent model-development work</w:t>
            </w:r>
          </w:p>
        </w:tc>
      </w:tr>
    </w:tbl>
    <w:p w14:paraId="0000010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center"/>
        <w:rPr>
          <w:rFonts w:ascii="Times New Roman" w:cs="Times New Roman" w:hAnsi="Times New Roman"/>
          <w:color w:val="000000"/>
          <w:sz w:val="36"/>
          <w:szCs w:val="36"/>
          <w:lang w:val="en-US"/>
        </w:rPr>
      </w:pPr>
    </w:p>
    <w:p w14:paraId="0000010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center"/>
        <w:rPr>
          <w:rFonts w:ascii="Times New Roman" w:cs="Times New Roman" w:hAnsi="Times New Roman"/>
          <w:color w:val="000000"/>
          <w:sz w:val="36"/>
          <w:szCs w:val="36"/>
          <w:u w:val="single"/>
          <w:lang w:val="en-US"/>
        </w:rPr>
      </w:pPr>
      <w:r>
        <w:rPr>
          <w:rFonts w:ascii="Times New Roman" w:cs="Times New Roman" w:hAnsi="Times New Roman"/>
          <w:color w:val="000000"/>
          <w:sz w:val="36"/>
          <w:szCs w:val="36"/>
          <w:u w:val="single"/>
          <w:rtl w:val="off"/>
          <w:lang w:val="en-US"/>
        </w:rPr>
        <w:t>11. Key Observations</w:t>
      </w:r>
    </w:p>
    <w:p w14:paraId="0000011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The preprocessing phase produced several important observations:</w:t>
      </w:r>
    </w:p>
    <w:p w14:paraId="00000111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The raw dataset contained 7,043 customer records and 21 original variables.</w:t>
      </w:r>
    </w:p>
    <w:p w14:paraId="00000112"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TotalCharges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required numerical conversion because it was initially stored as a string.</w:t>
      </w:r>
    </w:p>
    <w:p w14:paraId="00000113">
      <w:pPr>
        <w:framePr w:w="0" w:h="0" w:vAnchor="margin" w:hAnchor="text" w:x="0" w:y="0"/>
        <w:numPr>
          <w:ilvl w:val="0"/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The dataset contained blank 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TotalCharges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 entries associated with zero-tenure customers.</w:t>
      </w:r>
    </w:p>
    <w:p w14:paraId="00000114">
      <w:pPr>
        <w:framePr w:w="0" w:h="0" w:vAnchor="margin" w:hAnchor="text" w:x="0" w:y="0"/>
        <w:numPr>
          <w:ilvl w:val="0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No duplicate records were identified.</w:t>
      </w:r>
    </w:p>
    <w:p w14:paraId="00000115">
      <w:pPr>
        <w:framePr w:w="0" w:h="0" w:vAnchor="margin" w:hAnchor="text" w:x="0" w:y="0"/>
        <w:numPr>
          <w:ilvl w:val="0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Service-related categorical values were standardized to improve consistency.</w:t>
      </w:r>
    </w:p>
    <w:p w14:paraId="00000116">
      <w:pPr>
        <w:framePr w:w="0" w:h="0" w:vAnchor="margin" w:hAnchor="text" w:x="0" w:y="0"/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Four additional features were engineered: 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Total Services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, 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Avg_Monthly_Ratio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, 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Automatic_Payment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, and 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Has_Family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.</w:t>
      </w:r>
    </w:p>
    <w:p w14:paraId="00000117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Categorical variables were converted into numerical representations using target mapping, ordinal encoding, and one-hot encoding.</w:t>
      </w:r>
    </w:p>
    <w:p w14:paraId="00000118">
      <w:pPr>
        <w:framePr w:w="0" w:h="0" w:vAnchor="margin" w:hAnchor="text" w:x="0" w:y="0"/>
        <w:numPr>
          <w:ilvl w:val="0"/>
          <w:numId w:val="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Five numerical features were standardized using StandardScaler.</w:t>
      </w:r>
    </w:p>
    <w:p w14:paraId="00000119">
      <w:pPr>
        <w:framePr w:w="0" w:h="0" w:vAnchor="margin" w:hAnchor="text" w:x="0" w:y="0"/>
        <w:numPr>
          <w:ilvl w:val="0"/>
          <w:numId w:val="1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The IQR procedure detected no outliers in the selected numerical variables.</w:t>
      </w:r>
    </w:p>
    <w:p w14:paraId="0000011A">
      <w:pPr>
        <w:framePr w:w="0" w:h="0" w:vAnchor="margin" w:hAnchor="text" w:x="0" w:y="0"/>
        <w:numPr>
          <w:ilvl w:val="0"/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Correlation analysis identified contract structure and tenure among the features most strongly associated with churn.</w:t>
      </w:r>
    </w:p>
    <w:p w14:paraId="0000011B">
      <w:pPr>
        <w:framePr w:w="0" w:h="0" w:vAnchor="margin" w:hAnchor="text" w:x="0" w:y="0"/>
        <w:numPr>
          <w:ilvl w:val="0"/>
          <w:numId w:val="1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The final processed dataset contained 7,043 rows and 27 columns.</w:t>
      </w:r>
    </w:p>
    <w:p w14:paraId="0000011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right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</w:p>
    <w:p w14:paraId="0000011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center"/>
        <w:rPr>
          <w:rFonts w:ascii="Times New Roman" w:cs="Times New Roman" w:hAnsi="Times New Roman"/>
          <w:color w:val="000000"/>
          <w:sz w:val="36"/>
          <w:szCs w:val="36"/>
          <w:u w:val="single"/>
          <w:lang w:val="en-US"/>
        </w:rPr>
      </w:pPr>
      <w:r>
        <w:rPr>
          <w:rFonts w:ascii="Times New Roman" w:cs="Times New Roman" w:hAnsi="Times New Roman"/>
          <w:color w:val="000000"/>
          <w:sz w:val="36"/>
          <w:szCs w:val="36"/>
          <w:u w:val="single"/>
          <w:rtl w:val="off"/>
          <w:lang w:val="en-US"/>
        </w:rPr>
        <w:t>12. Conclusion</w:t>
      </w:r>
    </w:p>
    <w:p w14:paraId="0000011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The Week 2 data preprocessing and feature engineering phase successfully transformed the raw customer churn dataset into a structured machine-learning-ready dataset.</w:t>
      </w:r>
    </w:p>
    <w:p w14:paraId="0000011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The process addressed data-type inconsistencies, standardized categorical values, removed the irrelevant customer identifier, engineered additional business-relevant features, encoded categorical variables, standardized numerical features, assessed potential outliers, and evaluated feature relationships with the churn target.</w:t>
      </w:r>
    </w:p>
    <w:p w14:paraId="0000012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 xml:space="preserve">The resulting dataset provides an appropriate foundation for the next stage of the project: </w:t>
      </w:r>
      <w:r>
        <w:rPr>
          <w:rFonts w:ascii="Times New Roman" w:cs="Times New Roman" w:hAnsi="Times New Roman"/>
          <w:b/>
          <w:color w:val="000000"/>
          <w:sz w:val="24"/>
          <w:szCs w:val="24"/>
          <w:rtl w:val="off"/>
          <w:lang w:val="en-US"/>
        </w:rPr>
        <w:t>machine learning model development and evaluation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.</w:t>
      </w:r>
    </w:p>
    <w:p w14:paraId="0000012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The preprocessing decisions and implementation are documented in the accompanying Jupyter Notebook to ensure reproducibility and transparency.</w:t>
      </w:r>
    </w:p>
    <w:p w14:paraId="00000122">
      <w:pPr>
        <w:rPr>
          <w:rFonts w:ascii="Times New Roman" w:cs="Times New Roman" w:hAnsi="Times New Roman"/>
          <w:sz w:val="24"/>
          <w:szCs w:val="24"/>
        </w:rPr>
      </w:pPr>
    </w:p>
    <w:sectPr>
      <w:headerReference w:type="default" r:id="rId5"/>
      <w:footerReference w:type="default" r:id="rId6"/>
      <w:footnotePr/>
      <w:footnotePr/>
      <w:type w:val="nextPage"/>
      <w:pgSz w:w="11906" w:h="16838" w:orient="portrait"/>
      <w:pgMar w:top="1260" w:right="1440" w:bottom="1440" w:left="1440" w:header="505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footer1.xml><?xml version="1.0" encoding="utf-8"?>
<w:ft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125">
    <w:pPr>
      <w:spacing w:after="0" w:line="240" w:lineRule="auto"/>
      <w:rPr/>
    </w:pPr>
  </w:p>
</w:ftr>
</file>

<file path=word/header1.xml><?xml version="1.0" encoding="utf-8"?>
<w:hd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123">
    <w:pPr>
      <w:framePr w:w="0" w:h="0" w:vAnchor="margin" w:hAnchor="text" w:x="0" w:y="0"/>
      <w:pBdr>
        <w:top w:val="none" w:sz="4" w:space="0"/>
        <w:left w:val="none" w:sz="4" w:space="0"/>
        <w:bottom w:val="none" w:sz="4" w:space="0"/>
        <w:right w:val="none" w:sz="4" w:space="0"/>
        <w:between w:val="none" w:sz="4" w:space="0"/>
        <w:bar w:val="none" w:sz="4" w:space="0"/>
      </w:pBdr>
      <w:shd w:val="clear" w:fill="auto"/>
      <w:bidi w:val="off"/>
      <w:spacing w:before="0" w:after="0" w:line="240" w:lineRule="auto"/>
      <w:ind w:left="0" w:right="0" w:firstLine="0"/>
      <w:jc w:val="center"/>
      <w:rPr>
        <w:rFonts w:ascii="Times New Roman" w:cs="Times New Roman" w:hAnsi="Times New Roman"/>
        <w:color w:val="000000"/>
        <w:sz w:val="40"/>
        <w:szCs w:val="40"/>
        <w:u w:val="single"/>
        <w:lang w:val="en-US"/>
      </w:rPr>
    </w:pPr>
    <w:r>
      <w:rPr>
        <w:rFonts w:ascii="Times New Roman" w:cs="Times New Roman" w:hAnsi="Times New Roman"/>
        <w:color w:val="000000"/>
        <w:sz w:val="40"/>
        <w:szCs w:val="40"/>
        <w:u w:val="single"/>
        <w:rtl w:val="off"/>
        <w:lang w:val="en-US"/>
      </w:rPr>
      <w:t>ANALYSTLAB AFRICA</w:t>
    </w:r>
  </w:p>
  <w:p w14:paraId="00000124">
    <w:pPr>
      <w:spacing w:after="0" w:line="240" w:lineRule="auto"/>
      <w:rPr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/>
  <w:abstractNum w:abstractNumId="1"/>
  <w:abstractNum w:abstractNumId="2"/>
  <w:abstractNum w:abstractNumId="3"/>
  <w:abstractNum w:abstractNumId="4"/>
  <w:abstractNum w:abstractNumId="5"/>
  <w:abstractNum w:abstractNumId="6"/>
  <w:abstractNum w:abstractNumId="7"/>
  <w:abstractNum w:abstractNumId="8"/>
  <w:abstractNum w:abstractNumId="9"/>
  <w:abstractNum w:abstractNumId="10"/>
  <w:abstractNum w:abstractNumId="11"/>
  <w:num w:numId="1">
    <w:abstractNumId w:val="0"/>
    <w:lvlOverride w:ilvl="0">
      <w:lvl w:ilvl="0" w:tentative="1">
        <w:numFmt w:val="bullet"/>
        <w:suff w:val="tab"/>
        <w:lvlText w:val="·"/>
        <w:rPr/>
      </w:lvl>
    </w:lvlOverride>
  </w:num>
  <w:num w:numId="2">
    <w:abstractNumId w:val="1"/>
    <w:lvlOverride w:ilvl="0">
      <w:lvl w:ilvl="0" w:tentative="1">
        <w:numFmt w:val="bullet"/>
        <w:suff w:val="tab"/>
        <w:lvlText w:val="1."/>
        <w:rPr/>
      </w:lvl>
    </w:lvlOverride>
  </w:num>
  <w:num w:numId="3">
    <w:abstractNumId w:val="2"/>
    <w:lvlOverride w:ilvl="0">
      <w:lvl w:ilvl="0" w:tentative="1">
        <w:numFmt w:val="bullet"/>
        <w:suff w:val="tab"/>
        <w:lvlText w:val="2."/>
        <w:rPr/>
      </w:lvl>
    </w:lvlOverride>
  </w:num>
  <w:num w:numId="4">
    <w:abstractNumId w:val="3"/>
    <w:lvlOverride w:ilvl="0">
      <w:lvl w:ilvl="0" w:tentative="1">
        <w:numFmt w:val="bullet"/>
        <w:suff w:val="tab"/>
        <w:lvlText w:val="3."/>
        <w:rPr/>
      </w:lvl>
    </w:lvlOverride>
  </w:num>
  <w:num w:numId="5">
    <w:abstractNumId w:val="4"/>
    <w:lvlOverride w:ilvl="0">
      <w:lvl w:ilvl="0" w:tentative="1">
        <w:numFmt w:val="bullet"/>
        <w:suff w:val="tab"/>
        <w:lvlText w:val="4."/>
        <w:rPr/>
      </w:lvl>
    </w:lvlOverride>
  </w:num>
  <w:num w:numId="6">
    <w:abstractNumId w:val="5"/>
    <w:lvlOverride w:ilvl="0">
      <w:lvl w:ilvl="0" w:tentative="1">
        <w:numFmt w:val="bullet"/>
        <w:suff w:val="tab"/>
        <w:lvlText w:val="5."/>
        <w:rPr/>
      </w:lvl>
    </w:lvlOverride>
  </w:num>
  <w:num w:numId="7">
    <w:abstractNumId w:val="6"/>
    <w:lvlOverride w:ilvl="0">
      <w:lvl w:ilvl="0" w:tentative="1">
        <w:numFmt w:val="bullet"/>
        <w:suff w:val="tab"/>
        <w:lvlText w:val="6."/>
        <w:rPr/>
      </w:lvl>
    </w:lvlOverride>
  </w:num>
  <w:num w:numId="8">
    <w:abstractNumId w:val="7"/>
    <w:lvlOverride w:ilvl="0">
      <w:lvl w:ilvl="0" w:tentative="1">
        <w:numFmt w:val="bullet"/>
        <w:suff w:val="tab"/>
        <w:lvlText w:val="7."/>
        <w:rPr/>
      </w:lvl>
    </w:lvlOverride>
  </w:num>
  <w:num w:numId="9">
    <w:abstractNumId w:val="8"/>
    <w:lvlOverride w:ilvl="0">
      <w:lvl w:ilvl="0" w:tentative="1">
        <w:numFmt w:val="bullet"/>
        <w:suff w:val="tab"/>
        <w:lvlText w:val="8."/>
        <w:rPr/>
      </w:lvl>
    </w:lvlOverride>
  </w:num>
  <w:num w:numId="10">
    <w:abstractNumId w:val="9"/>
    <w:lvlOverride w:ilvl="0">
      <w:lvl w:ilvl="0" w:tentative="1">
        <w:numFmt w:val="bullet"/>
        <w:suff w:val="tab"/>
        <w:lvlText w:val="9."/>
        <w:rPr/>
      </w:lvl>
    </w:lvlOverride>
  </w:num>
  <w:num w:numId="11">
    <w:abstractNumId w:val="10"/>
    <w:lvlOverride w:ilvl="0">
      <w:lvl w:ilvl="0" w:tentative="1">
        <w:numFmt w:val="bullet"/>
        <w:suff w:val="tab"/>
        <w:lvlText w:val="10."/>
        <w:rPr/>
      </w:lvl>
    </w:lvlOverride>
  </w:num>
  <w:num w:numId="12">
    <w:abstractNumId w:val="11"/>
    <w:lvlOverride w:ilvl="0">
      <w:lvl w:ilvl="0" w:tentative="1">
        <w:numFmt w:val="bullet"/>
        <w:suff w:val="tab"/>
        <w:lvlText w:val="11."/>
        <w:rPr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trackRevisions w:val="off"/>
  <w:compat>
    <w:compatSetting w:name="compatibilityMode" w:uri="http://schemas.microsoft.com/office/word" w:val="14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Collins Adu</dc:creator>
  <cp:lastModifiedBy>Collins Adu</cp:lastModifiedBy>
</cp:coreProperties>
</file>