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document.xml" ContentType="application/vnd.openxmlformats-officedocument.wordprocessingml.document.main+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body>
    <w:p w14:paraId="0000000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640" w:firstLine="0"/>
        <w:jc w:val="center"/>
        <w:rPr>
          <w:rFonts w:ascii="Times New Roman" w:cs="Times New Roman" w:hAnsi="Times New Roman"/>
          <w:color w:val="203864" w:themeColor="accent1" w:themeShade="80"/>
          <w:sz w:val="36"/>
          <w:szCs w:val="36"/>
          <w:u w:val="single"/>
          <w:lang w:val="en-US"/>
        </w:rPr>
      </w:pPr>
      <w:r>
        <w:rPr>
          <w:rFonts w:ascii="Times New Roman" w:cs="Times New Roman" w:hAnsi="Times New Roman"/>
          <w:color w:val="203864" w:themeColor="accent1" w:themeShade="80"/>
          <w:sz w:val="36"/>
          <w:szCs w:val="36"/>
          <w:u w:val="single"/>
          <w:rtl w:val="off"/>
          <w:lang w:val="en-US"/>
        </w:rPr>
        <w:t>CUSTOMER CHURN PREDICTION &amp; RETENTION STRATEGY</w:t>
      </w:r>
    </w:p>
    <w:p w14:paraId="0000000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203864" w:themeColor="accent1" w:themeShade="80"/>
          <w:sz w:val="32"/>
          <w:szCs w:val="32"/>
          <w:u w:val="single"/>
          <w:lang w:val="en-US"/>
        </w:rPr>
      </w:pPr>
      <w:r>
        <w:rPr>
          <w:rFonts w:ascii="Times New Roman" w:cs="Times New Roman" w:hAnsi="Times New Roman"/>
          <w:color w:val="203864" w:themeColor="accent1" w:themeShade="80"/>
          <w:sz w:val="32"/>
          <w:szCs w:val="32"/>
          <w:u w:val="single"/>
          <w:rtl w:val="off"/>
          <w:lang w:val="en-US"/>
        </w:rPr>
        <w:t>Business Report — Week 3: Machine Learning Model Development and Evaluation</w:t>
      </w:r>
    </w:p>
    <w:p w14:paraId="0000000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Programme:</w:t>
      </w:r>
      <w:r>
        <w:rPr>
          <w:rFonts w:ascii="Times New Roman" w:cs="Times New Roman" w:hAnsi="Times New Roman"/>
          <w:color w:val="000000"/>
          <w:sz w:val="24"/>
          <w:szCs w:val="24"/>
          <w:rtl w:val="off"/>
          <w:lang w:val="en-US"/>
        </w:rPr>
        <w:t xml:space="preserve"> AnalystLab Africa Machine Learning Internship Programme</w:t>
      </w:r>
      <w:r>
        <w:rPr>
          <w:rFonts w:ascii="Times New Roman" w:cs="Times New Roman" w:hAnsi="Times New Roman"/>
          <w:color w:val="000000"/>
          <w:sz w:val="24"/>
          <w:szCs w:val="24"/>
          <w:lang w:val="en-US"/>
        </w:rPr>
        <w:br w:type="textWrapping"/>
      </w:r>
      <w:r>
        <w:rPr>
          <w:rFonts w:ascii="Times New Roman" w:cs="Times New Roman" w:hAnsi="Times New Roman"/>
          <w:b/>
          <w:color w:val="000000"/>
          <w:sz w:val="24"/>
          <w:szCs w:val="24"/>
          <w:rtl w:val="off"/>
          <w:lang w:val="en-US"/>
        </w:rPr>
        <w:t>Week:</w:t>
      </w:r>
      <w:r>
        <w:rPr>
          <w:rFonts w:ascii="Times New Roman" w:cs="Times New Roman" w:hAnsi="Times New Roman"/>
          <w:color w:val="000000"/>
          <w:sz w:val="24"/>
          <w:szCs w:val="24"/>
          <w:rtl w:val="off"/>
          <w:lang w:val="en-US"/>
        </w:rPr>
        <w:t xml:space="preserve"> 3</w:t>
      </w:r>
      <w:r>
        <w:rPr>
          <w:rFonts w:ascii="Times New Roman" w:cs="Times New Roman" w:hAnsi="Times New Roman"/>
          <w:color w:val="000000"/>
          <w:sz w:val="24"/>
          <w:szCs w:val="24"/>
          <w:lang w:val="en-US"/>
        </w:rPr>
        <w:br w:type="textWrapping"/>
      </w:r>
      <w:r>
        <w:rPr>
          <w:rFonts w:ascii="Times New Roman" w:cs="Times New Roman" w:hAnsi="Times New Roman"/>
          <w:b/>
          <w:color w:val="000000"/>
          <w:sz w:val="24"/>
          <w:szCs w:val="24"/>
          <w:rtl w:val="off"/>
          <w:lang w:val="en-US"/>
        </w:rPr>
        <w:t>Project Title:</w:t>
      </w:r>
      <w:r>
        <w:rPr>
          <w:rFonts w:ascii="Times New Roman" w:cs="Times New Roman" w:hAnsi="Times New Roman"/>
          <w:color w:val="000000"/>
          <w:sz w:val="24"/>
          <w:szCs w:val="24"/>
          <w:rtl w:val="off"/>
          <w:lang w:val="en-US"/>
        </w:rPr>
        <w:t xml:space="preserve"> Customer Churn Prediction &amp; Retention Strategy</w:t>
      </w:r>
      <w:r>
        <w:rPr>
          <w:rFonts w:ascii="Times New Roman" w:cs="Times New Roman" w:hAnsi="Times New Roman"/>
          <w:color w:val="000000"/>
          <w:sz w:val="24"/>
          <w:szCs w:val="24"/>
          <w:lang w:val="en-US"/>
        </w:rPr>
        <w:br w:type="textWrapping"/>
      </w:r>
      <w:r>
        <w:rPr>
          <w:rFonts w:ascii="Times New Roman" w:cs="Times New Roman" w:hAnsi="Times New Roman"/>
          <w:b/>
          <w:color w:val="000000"/>
          <w:sz w:val="24"/>
          <w:szCs w:val="24"/>
          <w:rtl w:val="off"/>
          <w:lang w:val="en-US"/>
        </w:rPr>
        <w:t>Client:</w:t>
      </w:r>
      <w:r>
        <w:rPr>
          <w:rFonts w:ascii="Times New Roman" w:cs="Times New Roman" w:hAnsi="Times New Roman"/>
          <w:color w:val="000000"/>
          <w:sz w:val="24"/>
          <w:szCs w:val="24"/>
          <w:rtl w:val="off"/>
          <w:lang w:val="en-US"/>
        </w:rPr>
        <w:t xml:space="preserve"> ABC Communications Ltd.</w:t>
      </w:r>
      <w:r>
        <w:rPr>
          <w:rFonts w:ascii="Times New Roman" w:cs="Times New Roman" w:hAnsi="Times New Roman"/>
          <w:color w:val="000000"/>
          <w:sz w:val="24"/>
          <w:szCs w:val="24"/>
          <w:lang w:val="en-US"/>
        </w:rPr>
        <w:br w:type="textWrapping"/>
      </w:r>
      <w:r>
        <w:rPr>
          <w:rFonts w:ascii="Times New Roman" w:cs="Times New Roman" w:hAnsi="Times New Roman"/>
          <w:b/>
          <w:color w:val="000000"/>
          <w:sz w:val="24"/>
          <w:szCs w:val="24"/>
          <w:rtl w:val="off"/>
          <w:lang w:val="en-US"/>
        </w:rPr>
        <w:t>Prepared By:</w:t>
      </w:r>
      <w:r>
        <w:rPr>
          <w:rFonts w:ascii="Times New Roman" w:cs="Times New Roman" w:hAnsi="Times New Roman"/>
          <w:color w:val="000000"/>
          <w:sz w:val="24"/>
          <w:szCs w:val="24"/>
          <w:rtl w:val="off"/>
          <w:lang w:val="en-US"/>
        </w:rPr>
        <w:t xml:space="preserve"> Machine Learning Department, AnalystLab Africa</w:t>
      </w:r>
      <w:r>
        <w:rPr>
          <w:rFonts w:ascii="Times New Roman" w:cs="Times New Roman" w:hAnsi="Times New Roman"/>
          <w:color w:val="000000"/>
          <w:sz w:val="24"/>
          <w:szCs w:val="24"/>
          <w:lang w:val="en-US"/>
        </w:rPr>
        <w:br w:type="textWrapping"/>
      </w:r>
      <w:r>
        <w:rPr>
          <w:rFonts w:ascii="Times New Roman" w:cs="Times New Roman" w:hAnsi="Times New Roman"/>
          <w:b/>
          <w:color w:val="000000"/>
          <w:sz w:val="24"/>
          <w:szCs w:val="24"/>
          <w:rtl w:val="off"/>
          <w:lang w:val="en-US"/>
        </w:rPr>
        <w:t>Document Status:</w:t>
      </w:r>
      <w:r>
        <w:rPr>
          <w:rFonts w:ascii="Times New Roman" w:cs="Times New Roman" w:hAnsi="Times New Roman"/>
          <w:color w:val="000000"/>
          <w:sz w:val="24"/>
          <w:szCs w:val="24"/>
          <w:rtl w:val="off"/>
          <w:lang w:val="en-US"/>
        </w:rPr>
        <w:t xml:space="preserve"> Final Submission Report</w:t>
      </w:r>
    </w:p>
    <w:p w14:paraId="0000000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p>
    <w:p w14:paraId="0000000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203864" w:themeColor="accent1" w:themeShade="80"/>
          <w:sz w:val="28"/>
          <w:szCs w:val="28"/>
          <w:u w:val="single"/>
          <w:lang w:val="en-US"/>
        </w:rPr>
      </w:pPr>
      <w:r>
        <w:rPr>
          <w:rFonts w:ascii="Times New Roman" w:cs="Times New Roman" w:hAnsi="Times New Roman"/>
          <w:color w:val="203864" w:themeColor="accent1" w:themeShade="80"/>
          <w:sz w:val="28"/>
          <w:szCs w:val="28"/>
          <w:u w:val="single"/>
          <w:rtl w:val="off"/>
          <w:lang w:val="en-US"/>
        </w:rPr>
        <w:t xml:space="preserve">1. EXECUTIVE </w:t>
      </w:r>
      <w:r>
        <w:rPr>
          <w:rFonts w:ascii="Times New Roman" w:cs="Times New Roman" w:hAnsi="Times New Roman"/>
          <w:color w:val="203864" w:themeColor="accent1" w:themeShade="80"/>
          <w:sz w:val="28"/>
          <w:szCs w:val="28"/>
          <w:u w:val="single"/>
          <w:rtl w:val="off"/>
          <w:lang w:val="en-US"/>
        </w:rPr>
        <w:t>SUMMARY</w:t>
      </w:r>
    </w:p>
    <w:p w14:paraId="0000000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Customer churn is a major challenge for telecommunications companies because losing existing customers can negatively affect recurring revenue and increase the cost of acquiring replacement customers. The purpose of this project is to develop a machine learning solution that can identify customers who are likely to churn before they leave the company.</w:t>
      </w:r>
    </w:p>
    <w:p w14:paraId="0000000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Using the prepared customer churn dataset from the previous stage of the project, four machine learning classification algorithms were trained and evaluated: </w:t>
      </w:r>
      <w:r>
        <w:rPr>
          <w:rFonts w:ascii="Times New Roman" w:cs="Times New Roman" w:hAnsi="Times New Roman"/>
          <w:b/>
          <w:color w:val="000000"/>
          <w:sz w:val="22"/>
          <w:szCs w:val="22"/>
          <w:rtl w:val="off"/>
          <w:lang w:val="en-US"/>
        </w:rPr>
        <w:t>Logistic Regression, Decision Tree, Random Forest, and Support Vector Machine (SVM)</w:t>
      </w:r>
      <w:r>
        <w:rPr>
          <w:rFonts w:ascii="Times New Roman" w:cs="Times New Roman" w:hAnsi="Times New Roman"/>
          <w:color w:val="000000"/>
          <w:sz w:val="22"/>
          <w:szCs w:val="22"/>
          <w:rtl w:val="off"/>
          <w:lang w:val="en-US"/>
        </w:rPr>
        <w:t xml:space="preserve">. The task was formulated as a </w:t>
      </w:r>
      <w:r>
        <w:rPr>
          <w:rFonts w:ascii="Times New Roman" w:cs="Times New Roman" w:hAnsi="Times New Roman"/>
          <w:b/>
          <w:color w:val="000000"/>
          <w:sz w:val="22"/>
          <w:szCs w:val="22"/>
          <w:rtl w:val="off"/>
          <w:lang w:val="en-US"/>
        </w:rPr>
        <w:t>supervised binary classification problem</w:t>
      </w:r>
      <w:r>
        <w:rPr>
          <w:rFonts w:ascii="Times New Roman" w:cs="Times New Roman" w:hAnsi="Times New Roman"/>
          <w:color w:val="000000"/>
          <w:sz w:val="22"/>
          <w:szCs w:val="22"/>
          <w:rtl w:val="off"/>
          <w:lang w:val="en-US"/>
        </w:rPr>
        <w:t>, where the target variable was customer churn.</w:t>
      </w:r>
    </w:p>
    <w:p w14:paraId="0000000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The models were evaluated using </w:t>
      </w:r>
      <w:r>
        <w:rPr>
          <w:rFonts w:ascii="Times New Roman" w:cs="Times New Roman" w:hAnsi="Times New Roman"/>
          <w:b/>
          <w:color w:val="000000"/>
          <w:sz w:val="22"/>
          <w:szCs w:val="22"/>
          <w:rtl w:val="off"/>
          <w:lang w:val="en-US"/>
        </w:rPr>
        <w:t>Accuracy, Precision, Recall, F1-score, and ROC-AUC</w:t>
      </w:r>
      <w:r>
        <w:rPr>
          <w:rFonts w:ascii="Times New Roman" w:cs="Times New Roman" w:hAnsi="Times New Roman"/>
          <w:color w:val="000000"/>
          <w:sz w:val="22"/>
          <w:szCs w:val="22"/>
          <w:rtl w:val="off"/>
          <w:lang w:val="en-US"/>
        </w:rPr>
        <w:t xml:space="preserve">. Additional visual evaluation techniques included </w:t>
      </w:r>
      <w:r>
        <w:rPr>
          <w:rFonts w:ascii="Times New Roman" w:cs="Times New Roman" w:hAnsi="Times New Roman"/>
          <w:b/>
          <w:color w:val="000000"/>
          <w:sz w:val="22"/>
          <w:szCs w:val="22"/>
          <w:rtl w:val="off"/>
          <w:lang w:val="en-US"/>
        </w:rPr>
        <w:t>confusion matrices, ROC curves, Precision-Recall curves, and feature importance analysis</w:t>
      </w:r>
      <w:r>
        <w:rPr>
          <w:rFonts w:ascii="Times New Roman" w:cs="Times New Roman" w:hAnsi="Times New Roman"/>
          <w:color w:val="000000"/>
          <w:sz w:val="22"/>
          <w:szCs w:val="22"/>
          <w:rtl w:val="off"/>
          <w:lang w:val="en-US"/>
        </w:rPr>
        <w:t>.</w:t>
      </w:r>
    </w:p>
    <w:p w14:paraId="0000000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The results showed that the Support Vector Machine achieved the highest overall accuracy of </w:t>
      </w:r>
      <w:r>
        <w:rPr>
          <w:rFonts w:ascii="Times New Roman" w:cs="Times New Roman" w:hAnsi="Times New Roman"/>
          <w:b/>
          <w:color w:val="000000"/>
          <w:sz w:val="22"/>
          <w:szCs w:val="22"/>
          <w:rtl w:val="off"/>
          <w:lang w:val="en-US"/>
        </w:rPr>
        <w:t>78.92%</w:t>
      </w:r>
      <w:r>
        <w:rPr>
          <w:rFonts w:ascii="Times New Roman" w:cs="Times New Roman" w:hAnsi="Times New Roman"/>
          <w:color w:val="000000"/>
          <w:sz w:val="22"/>
          <w:szCs w:val="22"/>
          <w:rtl w:val="off"/>
          <w:lang w:val="en-US"/>
        </w:rPr>
        <w:t xml:space="preserve">, while Logistic Regression achieved the highest recall of </w:t>
      </w:r>
      <w:r>
        <w:rPr>
          <w:rFonts w:ascii="Times New Roman" w:cs="Times New Roman" w:hAnsi="Times New Roman"/>
          <w:b/>
          <w:color w:val="000000"/>
          <w:sz w:val="22"/>
          <w:szCs w:val="22"/>
          <w:rtl w:val="off"/>
          <w:lang w:val="en-US"/>
        </w:rPr>
        <w:t>78.61%</w:t>
      </w:r>
      <w:r>
        <w:rPr>
          <w:rFonts w:ascii="Times New Roman" w:cs="Times New Roman" w:hAnsi="Times New Roman"/>
          <w:color w:val="000000"/>
          <w:sz w:val="22"/>
          <w:szCs w:val="22"/>
          <w:rtl w:val="off"/>
          <w:lang w:val="en-US"/>
        </w:rPr>
        <w:t xml:space="preserve"> and the strongest ROC-AUC score of </w:t>
      </w:r>
      <w:r>
        <w:rPr>
          <w:rFonts w:ascii="Times New Roman" w:cs="Times New Roman" w:hAnsi="Times New Roman"/>
          <w:b/>
          <w:color w:val="000000"/>
          <w:sz w:val="22"/>
          <w:szCs w:val="22"/>
          <w:rtl w:val="off"/>
          <w:lang w:val="en-US"/>
        </w:rPr>
        <w:t>84.75%</w:t>
      </w:r>
      <w:r>
        <w:rPr>
          <w:rFonts w:ascii="Times New Roman" w:cs="Times New Roman" w:hAnsi="Times New Roman"/>
          <w:color w:val="000000"/>
          <w:sz w:val="22"/>
          <w:szCs w:val="22"/>
          <w:rtl w:val="off"/>
          <w:lang w:val="en-US"/>
        </w:rPr>
        <w:t xml:space="preserve"> among the evaluated models.</w:t>
      </w:r>
    </w:p>
    <w:p w14:paraId="0000000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Although SVM achieved the highest accuracy, accuracy alone was not considered sufficient for selecting the best model. The main business objective is to identify customers who are actually likely to churn so that the company can intervene before losing them. Therefore, </w:t>
      </w:r>
      <w:r>
        <w:rPr>
          <w:rFonts w:ascii="Times New Roman" w:cs="Times New Roman" w:hAnsi="Times New Roman"/>
          <w:b/>
          <w:color w:val="000000"/>
          <w:sz w:val="22"/>
          <w:szCs w:val="22"/>
          <w:rtl w:val="off"/>
          <w:lang w:val="en-US"/>
        </w:rPr>
        <w:t>Logistic Regression is recommended as the current preferred model</w:t>
      </w:r>
      <w:r>
        <w:rPr>
          <w:rFonts w:ascii="Times New Roman" w:cs="Times New Roman" w:hAnsi="Times New Roman"/>
          <w:color w:val="000000"/>
          <w:sz w:val="22"/>
          <w:szCs w:val="22"/>
          <w:rtl w:val="off"/>
          <w:lang w:val="en-US"/>
        </w:rPr>
        <w:t xml:space="preserve"> because it identified the highest proportion of actual churners and provides strong model interpretability.</w:t>
      </w:r>
    </w:p>
    <w:p w14:paraId="0000000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8"/>
          <w:szCs w:val="28"/>
          <w:rtl w:val="off"/>
          <w:lang w:val="en-US"/>
        </w:rPr>
      </w:pPr>
      <w:r>
        <w:rPr>
          <w:rFonts w:ascii="Times New Roman" w:cs="Times New Roman" w:hAnsi="Times New Roman"/>
          <w:color w:val="000000"/>
          <w:sz w:val="22"/>
          <w:szCs w:val="22"/>
          <w:rtl w:val="off"/>
          <w:lang w:val="en-US"/>
        </w:rPr>
        <w:t>The next stage of the project should focus on threshold tuning, cross-validation, hyperparameter optimization, cost-sensitive evaluation, and the development of a leakage-safe machine learning pipeline.</w:t>
      </w:r>
    </w:p>
    <w:p w14:paraId="0000000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8"/>
          <w:szCs w:val="28"/>
          <w:rtl w:val="off"/>
          <w:lang w:val="en-US"/>
        </w:rPr>
      </w:pPr>
    </w:p>
    <w:p w14:paraId="0000000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203864" w:themeColor="accent1" w:themeShade="80"/>
          <w:sz w:val="28"/>
          <w:szCs w:val="28"/>
          <w:u w:val="single"/>
          <w:lang w:val="en-US"/>
        </w:rPr>
      </w:pPr>
      <w:r>
        <w:rPr>
          <w:rFonts w:ascii="Times New Roman" w:cs="Times New Roman" w:hAnsi="Times New Roman"/>
          <w:color w:val="203864" w:themeColor="accent1" w:themeShade="80"/>
          <w:sz w:val="28"/>
          <w:szCs w:val="28"/>
          <w:u w:val="single"/>
          <w:rtl w:val="off"/>
          <w:lang w:val="en-US"/>
        </w:rPr>
        <w:t>2. MODELLING APPROACH</w:t>
      </w:r>
    </w:p>
    <w:p w14:paraId="0000000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The modelling stage was designed to build predictive models capable of classifying customers into two groups:</w:t>
      </w:r>
    </w:p>
    <w:p w14:paraId="0000000F">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b/>
          <w:color w:val="000000"/>
          <w:sz w:val="22"/>
          <w:szCs w:val="22"/>
          <w:rtl w:val="off"/>
          <w:lang w:val="en-US"/>
        </w:rPr>
        <w:t>Churn = 1:</w:t>
      </w:r>
      <w:r>
        <w:rPr>
          <w:rFonts w:ascii="Times New Roman" w:cs="Times New Roman" w:hAnsi="Times New Roman"/>
          <w:color w:val="000000"/>
          <w:sz w:val="22"/>
          <w:szCs w:val="22"/>
          <w:rtl w:val="off"/>
          <w:lang w:val="en-US"/>
        </w:rPr>
        <w:t xml:space="preserve"> Customer left or is classified as having churned. </w:t>
      </w:r>
    </w:p>
    <w:p w14:paraId="00000010">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b/>
          <w:color w:val="000000"/>
          <w:sz w:val="22"/>
          <w:szCs w:val="22"/>
          <w:rtl w:val="off"/>
          <w:lang w:val="en-US"/>
        </w:rPr>
        <w:t>Churn = 0:</w:t>
      </w:r>
      <w:r>
        <w:rPr>
          <w:rFonts w:ascii="Times New Roman" w:cs="Times New Roman" w:hAnsi="Times New Roman"/>
          <w:color w:val="000000"/>
          <w:sz w:val="22"/>
          <w:szCs w:val="22"/>
          <w:rtl w:val="off"/>
          <w:lang w:val="en-US"/>
        </w:rPr>
        <w:t xml:space="preserve"> Customer remained with the company. </w:t>
      </w:r>
    </w:p>
    <w:p w14:paraId="0000001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The project therefore represents a </w:t>
      </w:r>
      <w:r>
        <w:rPr>
          <w:rFonts w:ascii="Times New Roman" w:cs="Times New Roman" w:hAnsi="Times New Roman"/>
          <w:b/>
          <w:color w:val="000000"/>
          <w:sz w:val="22"/>
          <w:szCs w:val="22"/>
          <w:rtl w:val="off"/>
          <w:lang w:val="en-US"/>
        </w:rPr>
        <w:t>supervised machine learning binary classification problem</w:t>
      </w:r>
      <w:r>
        <w:rPr>
          <w:rFonts w:ascii="Times New Roman" w:cs="Times New Roman" w:hAnsi="Times New Roman"/>
          <w:color w:val="000000"/>
          <w:sz w:val="22"/>
          <w:szCs w:val="22"/>
          <w:rtl w:val="off"/>
          <w:lang w:val="en-US"/>
        </w:rPr>
        <w:t>.</w:t>
      </w:r>
    </w:p>
    <w:p w14:paraId="0000001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The dataset used for modelling was the processed machine-learning-ready dataset developed during the previous preprocessing and feature engineering stage. Before modelling, the target variable was separated from the predictor variables.</w:t>
      </w:r>
    </w:p>
    <w:p w14:paraId="0000001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The dataset was divided into training and testing datasets using an </w:t>
      </w:r>
      <w:r>
        <w:rPr>
          <w:rFonts w:ascii="Times New Roman" w:cs="Times New Roman" w:hAnsi="Times New Roman"/>
          <w:b/>
          <w:color w:val="000000"/>
          <w:sz w:val="22"/>
          <w:szCs w:val="22"/>
          <w:rtl w:val="off"/>
          <w:lang w:val="en-US"/>
        </w:rPr>
        <w:t>80/20 train-test split</w:t>
      </w:r>
      <w:r>
        <w:rPr>
          <w:rFonts w:ascii="Times New Roman" w:cs="Times New Roman" w:hAnsi="Times New Roman"/>
          <w:color w:val="000000"/>
          <w:sz w:val="22"/>
          <w:szCs w:val="22"/>
          <w:rtl w:val="off"/>
          <w:lang w:val="en-US"/>
        </w:rPr>
        <w:t xml:space="preserve">. Stratification was applied during the split to help preserve the distribution of churn and non-churn customers across both the training and testing datasets. A </w:t>
      </w:r>
      <w:r>
        <w:rPr>
          <w:rFonts w:ascii="Times New Roman" w:cs="Times New Roman" w:hAnsi="Times New Roman"/>
          <w:color w:val="000000"/>
          <w:sz w:val="22"/>
          <w:szCs w:val="22"/>
          <w:rtl w:val="off"/>
          <w:lang w:val="en-US"/>
        </w:rPr>
        <w:t>random_state</w:t>
      </w:r>
      <w:r>
        <w:rPr>
          <w:rFonts w:ascii="Times New Roman" w:cs="Times New Roman" w:hAnsi="Times New Roman"/>
          <w:color w:val="000000"/>
          <w:sz w:val="22"/>
          <w:szCs w:val="22"/>
          <w:rtl w:val="off"/>
          <w:lang w:val="en-US"/>
        </w:rPr>
        <w:t xml:space="preserve"> value of </w:t>
      </w:r>
      <w:r>
        <w:rPr>
          <w:rFonts w:ascii="Times New Roman" w:cs="Times New Roman" w:hAnsi="Times New Roman"/>
          <w:b/>
          <w:color w:val="000000"/>
          <w:sz w:val="22"/>
          <w:szCs w:val="22"/>
          <w:rtl w:val="off"/>
          <w:lang w:val="en-US"/>
        </w:rPr>
        <w:t>42</w:t>
      </w:r>
      <w:r>
        <w:rPr>
          <w:rFonts w:ascii="Times New Roman" w:cs="Times New Roman" w:hAnsi="Times New Roman"/>
          <w:color w:val="000000"/>
          <w:sz w:val="22"/>
          <w:szCs w:val="22"/>
          <w:rtl w:val="off"/>
          <w:lang w:val="en-US"/>
        </w:rPr>
        <w:t xml:space="preserve"> was used to ensure that the experiment could be reproduced.</w:t>
      </w:r>
    </w:p>
    <w:p w14:paraId="0000001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The general modelling workflow was as follows:</w:t>
      </w:r>
    </w:p>
    <w:p w14:paraId="00000015">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Load the machine-learning-ready dataset. </w:t>
      </w:r>
    </w:p>
    <w:p w14:paraId="00000016">
      <w:pPr>
        <w:framePr w:w="0" w:h="0" w:vAnchor="margin" w:hAnchor="text" w:x="0" w:y="0"/>
        <w:numPr>
          <w:ilvl w:val="0"/>
          <w:numId w:val="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Separate the predictor variables from the churn target variable. </w:t>
      </w:r>
    </w:p>
    <w:p w14:paraId="00000017">
      <w:pPr>
        <w:framePr w:w="0" w:h="0" w:vAnchor="margin" w:hAnchor="text" w:x="0" w:y="0"/>
        <w:numPr>
          <w:ilvl w:val="0"/>
          <w:numId w:val="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Split the data into training and testing datasets. </w:t>
      </w:r>
    </w:p>
    <w:p w14:paraId="00000018">
      <w:pPr>
        <w:framePr w:w="0" w:h="0" w:vAnchor="margin" w:hAnchor="text" w:x="0" w:y="0"/>
        <w:numPr>
          <w:ilvl w:val="0"/>
          <w:numId w:val="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Train multiple machine learning classification models. </w:t>
      </w:r>
    </w:p>
    <w:p w14:paraId="00000019">
      <w:pPr>
        <w:framePr w:w="0" w:h="0" w:vAnchor="margin" w:hAnchor="text" w:x="0" w:y="0"/>
        <w:numPr>
          <w:ilvl w:val="0"/>
          <w:numId w:val="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Generate predictions on the unseen test dataset. </w:t>
      </w:r>
    </w:p>
    <w:p w14:paraId="0000001A">
      <w:pPr>
        <w:framePr w:w="0" w:h="0" w:vAnchor="margin" w:hAnchor="text" w:x="0" w:y="0"/>
        <w:numPr>
          <w:ilvl w:val="0"/>
          <w:numId w:val="7"/>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Evaluate each model using multiple performance metrics. </w:t>
      </w:r>
    </w:p>
    <w:p w14:paraId="0000001B">
      <w:pPr>
        <w:framePr w:w="0" w:h="0" w:vAnchor="margin" w:hAnchor="text" w:x="0" w:y="0"/>
        <w:numPr>
          <w:ilvl w:val="0"/>
          <w:numId w:val="8"/>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Compare the strengths and weaknesses of the models. </w:t>
      </w:r>
    </w:p>
    <w:p w14:paraId="0000001C">
      <w:pPr>
        <w:framePr w:w="0" w:h="0" w:vAnchor="margin" w:hAnchor="text" w:x="0" w:y="0"/>
        <w:numPr>
          <w:ilvl w:val="0"/>
          <w:numId w:val="9"/>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Analyze feature importance and model interpretability. </w:t>
      </w:r>
    </w:p>
    <w:p w14:paraId="0000001D">
      <w:pPr>
        <w:framePr w:w="0" w:h="0" w:vAnchor="margin" w:hAnchor="text" w:x="0" w:y="0"/>
        <w:numPr>
          <w:ilvl w:val="0"/>
          <w:numId w:val="1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Select a recommended model based on both technical performance and business objectives. </w:t>
      </w:r>
    </w:p>
    <w:p w14:paraId="0000001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The project did not rely on accuracy alone because customer churn prediction involves different types of classification errors.</w:t>
      </w:r>
    </w:p>
    <w:p w14:paraId="0000001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A </w:t>
      </w:r>
      <w:r>
        <w:rPr>
          <w:rFonts w:ascii="Times New Roman" w:cs="Times New Roman" w:hAnsi="Times New Roman"/>
          <w:b/>
          <w:color w:val="000000"/>
          <w:sz w:val="22"/>
          <w:szCs w:val="22"/>
          <w:rtl w:val="off"/>
          <w:lang w:val="en-US"/>
        </w:rPr>
        <w:t>False Negative</w:t>
      </w:r>
      <w:r>
        <w:rPr>
          <w:rFonts w:ascii="Times New Roman" w:cs="Times New Roman" w:hAnsi="Times New Roman"/>
          <w:color w:val="000000"/>
          <w:sz w:val="22"/>
          <w:szCs w:val="22"/>
          <w:rtl w:val="off"/>
          <w:lang w:val="en-US"/>
        </w:rPr>
        <w:t xml:space="preserve"> occurs when the model predicts that a customer will stay, but the customer actually churns. This can be costly because the company loses an opportunity to intervene and potentially retain that customer.</w:t>
      </w:r>
    </w:p>
    <w:p w14:paraId="0000002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A </w:t>
      </w:r>
      <w:r>
        <w:rPr>
          <w:rFonts w:ascii="Times New Roman" w:cs="Times New Roman" w:hAnsi="Times New Roman"/>
          <w:b/>
          <w:color w:val="000000"/>
          <w:sz w:val="22"/>
          <w:szCs w:val="22"/>
          <w:rtl w:val="off"/>
          <w:lang w:val="en-US"/>
        </w:rPr>
        <w:t>False Positive</w:t>
      </w:r>
      <w:r>
        <w:rPr>
          <w:rFonts w:ascii="Times New Roman" w:cs="Times New Roman" w:hAnsi="Times New Roman"/>
          <w:color w:val="000000"/>
          <w:sz w:val="22"/>
          <w:szCs w:val="22"/>
          <w:rtl w:val="off"/>
          <w:lang w:val="en-US"/>
        </w:rPr>
        <w:t xml:space="preserve"> occurs when the model predicts that a customer will churn, but the customer actually stays. This may result in the company spending resources on an unnecessary retention campaign.</w:t>
      </w:r>
    </w:p>
    <w:p w14:paraId="0000002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Because missing an actual churner can result in lost revenue, </w:t>
      </w:r>
      <w:r>
        <w:rPr>
          <w:rFonts w:ascii="Times New Roman" w:cs="Times New Roman" w:hAnsi="Times New Roman"/>
          <w:b/>
          <w:color w:val="000000"/>
          <w:sz w:val="22"/>
          <w:szCs w:val="22"/>
          <w:rtl w:val="off"/>
          <w:lang w:val="en-US"/>
        </w:rPr>
        <w:t>Recall was considered particularly important</w:t>
      </w:r>
      <w:r>
        <w:rPr>
          <w:rFonts w:ascii="Times New Roman" w:cs="Times New Roman" w:hAnsi="Times New Roman"/>
          <w:color w:val="000000"/>
          <w:sz w:val="22"/>
          <w:szCs w:val="22"/>
          <w:rtl w:val="off"/>
          <w:lang w:val="en-US"/>
        </w:rPr>
        <w:t xml:space="preserve"> when evaluating the models. </w:t>
      </w:r>
    </w:p>
    <w:p w14:paraId="0000002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p>
    <w:p w14:paraId="0000002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203864" w:themeColor="accent1" w:themeShade="80"/>
          <w:sz w:val="28"/>
          <w:szCs w:val="28"/>
          <w:lang w:val="en-US"/>
        </w:rPr>
      </w:pPr>
      <w:r>
        <w:rPr>
          <w:rFonts w:ascii="Times New Roman" w:cs="Times New Roman" w:hAnsi="Times New Roman"/>
          <w:color w:val="203864" w:themeColor="accent1" w:themeShade="80"/>
          <w:sz w:val="28"/>
          <w:szCs w:val="28"/>
          <w:rtl w:val="off"/>
          <w:lang w:val="en-US"/>
        </w:rPr>
        <w:t>3. ALGORITHMS SELECTED</w:t>
      </w:r>
    </w:p>
    <w:p w14:paraId="0000002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Four machine learning algorithms were selected and compared in this project.</w:t>
      </w:r>
    </w:p>
    <w:p w14:paraId="0000002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3.1 Logistic Regression</w:t>
      </w:r>
    </w:p>
    <w:p w14:paraId="0000002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Logistic Regression was selected as a baseline classification model. It is widely used for binary classification problems and provides a relatively interpretable approach to understanding how input features are associated with the predicted probability of customer churn.</w:t>
      </w:r>
    </w:p>
    <w:p w14:paraId="0000002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One major advantage of Logistic Regression is that its coefficients can be analyzed to understand the directional relationship between predictor variables and churn predictions.</w:t>
      </w:r>
    </w:p>
    <w:p w14:paraId="0000002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40"/>
          <w:rtl w:val="off"/>
          <w:lang w:val="en-US"/>
        </w:rPr>
      </w:pPr>
      <w:r>
        <w:rPr>
          <w:rFonts w:ascii="Times New Roman" w:cs="Times New Roman" w:hAnsi="Times New Roman"/>
          <w:color w:val="000000"/>
          <w:sz w:val="22"/>
          <w:szCs w:val="22"/>
          <w:rtl w:val="off"/>
          <w:lang w:val="en-US"/>
        </w:rPr>
        <w:t>This model performed particularly well in detecting actual churners.</w:t>
      </w:r>
    </w:p>
    <w:p w14:paraId="0000002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rtl w:val="off"/>
          <w:lang w:val="en-US"/>
        </w:rPr>
        <w:t>3.2 Decision Tree</w:t>
      </w:r>
    </w:p>
    <w:p w14:paraId="0000002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A Decision Tree classifier was selected because it can model nonlinear relationships and produce decision rules that are relatively easy to understand.</w:t>
      </w:r>
    </w:p>
    <w:p w14:paraId="0000002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Decision Trees divide the dataset into smaller groups based on feature values and create a tree-like structure for making predictions.</w:t>
      </w:r>
    </w:p>
    <w:p w14:paraId="0000002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color w:val="000000"/>
          <w:sz w:val="28"/>
          <w:szCs w:val="28"/>
          <w:lang w:val="en-US"/>
        </w:rPr>
      </w:pPr>
      <w:r>
        <w:rPr>
          <w:rFonts w:ascii="Times New Roman" w:cs="Times New Roman" w:hAnsi="Times New Roman"/>
          <w:color w:val="000000"/>
          <w:sz w:val="22"/>
          <w:szCs w:val="22"/>
          <w:rtl w:val="off"/>
          <w:lang w:val="en-US"/>
        </w:rPr>
        <w:t>However, a major limitation of Decision Trees is that they can be prone to overfitting if not properly controlled.</w:t>
      </w:r>
      <w:r>
        <w:rPr>
          <w:rFonts w:ascii="Times New Roman" w:cs="Times New Roman" w:hAnsi="Times New Roman"/>
          <w:color w:val="000000"/>
          <w:sz w:val="18"/>
          <w:lang w:val="en-US"/>
        </w:rPr>
        <w:br w:type="textWrapping"/>
      </w:r>
      <w:r>
        <w:rPr>
          <w:rFonts w:ascii="Times New Roman" w:cs="Times New Roman" w:hAnsi="Times New Roman"/>
          <w:b/>
          <w:bCs/>
          <w:color w:val="000000"/>
          <w:sz w:val="28"/>
          <w:szCs w:val="28"/>
          <w:rtl w:val="off"/>
          <w:lang w:val="en-US"/>
        </w:rPr>
        <w:t>3.3 Random Forest</w:t>
      </w:r>
    </w:p>
    <w:p w14:paraId="0000002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Random Forest was selected as an ensemble learning method.</w:t>
      </w:r>
    </w:p>
    <w:p w14:paraId="0000002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Instead of relying on a single decision tree, Random Forest combines predictions from multiple decision trees. This approach can improve predictive stability and reduce some of the weaknesses associated with using an individual Decision Tree.</w:t>
      </w:r>
    </w:p>
    <w:p w14:paraId="0000002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8"/>
          <w:szCs w:val="28"/>
          <w:lang w:val="en-US"/>
        </w:rPr>
      </w:pPr>
      <w:r>
        <w:rPr>
          <w:rFonts w:ascii="Times New Roman" w:cs="Times New Roman" w:hAnsi="Times New Roman"/>
          <w:color w:val="000000"/>
          <w:sz w:val="22"/>
          <w:szCs w:val="22"/>
          <w:rtl w:val="off"/>
          <w:lang w:val="en-US"/>
        </w:rPr>
        <w:t>Random Forest can also capture complex and nonlinear relationships between customer characteristics and churn.</w:t>
      </w:r>
      <w:r>
        <w:rPr>
          <w:rFonts w:ascii="Times New Roman" w:cs="Times New Roman" w:hAnsi="Times New Roman"/>
          <w:color w:val="000000"/>
          <w:sz w:val="22"/>
          <w:szCs w:val="22"/>
          <w:lang w:val="en-US"/>
        </w:rPr>
        <w:br w:type="textWrapping"/>
      </w:r>
      <w:r>
        <w:rPr>
          <w:rFonts w:ascii="Times New Roman" w:cs="Times New Roman" w:hAnsi="Times New Roman"/>
          <w:b/>
          <w:bCs/>
          <w:color w:val="000000"/>
          <w:sz w:val="28"/>
          <w:szCs w:val="28"/>
          <w:rtl w:val="off"/>
          <w:lang w:val="en-US"/>
        </w:rPr>
        <w:t>3.4 Support Vector Machine (SVM)</w:t>
      </w:r>
    </w:p>
    <w:p w14:paraId="0000003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Support Vector Machine was selected because it is a powerful classification algorithm capable of finding a decision boundary between different classes.</w:t>
      </w:r>
    </w:p>
    <w:p w14:paraId="0000003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The objective of SVM is to find a boundary that effectively separates customers who churn from those who remain.</w:t>
      </w:r>
    </w:p>
    <w:p w14:paraId="0000003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8"/>
          <w:szCs w:val="28"/>
          <w:lang w:val="en-US"/>
        </w:rPr>
      </w:pPr>
      <w:r>
        <w:rPr>
          <w:rFonts w:ascii="Times New Roman" w:cs="Times New Roman" w:hAnsi="Times New Roman"/>
          <w:color w:val="000000"/>
          <w:sz w:val="22"/>
          <w:szCs w:val="22"/>
          <w:rtl w:val="off"/>
          <w:lang w:val="en-US"/>
        </w:rPr>
        <w:t>In this project, SVM achieved the highest overall accuracy. However, its recall was lower than the recall achieved by Logistic Regression.</w:t>
      </w:r>
      <w:r>
        <w:rPr>
          <w:rFonts w:ascii="Times New Roman" w:cs="Times New Roman" w:hAnsi="Times New Roman"/>
          <w:color w:val="000000"/>
          <w:sz w:val="18"/>
          <w:lang w:val="en-US"/>
        </w:rPr>
        <w:br w:type="textWrapping"/>
      </w:r>
      <w:r>
        <w:rPr>
          <w:rFonts w:ascii="Times New Roman" w:cs="Times New Roman" w:hAnsi="Times New Roman"/>
          <w:b/>
          <w:bCs/>
          <w:color w:val="000000"/>
          <w:sz w:val="28"/>
          <w:szCs w:val="28"/>
          <w:rtl w:val="off"/>
          <w:lang w:val="en-US"/>
        </w:rPr>
        <w:t>4. EVALUATION RESULTS</w:t>
      </w:r>
    </w:p>
    <w:p w14:paraId="0000003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The four models were evaluated using five main performance metrics:</w:t>
      </w:r>
    </w:p>
    <w:p w14:paraId="00000034">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Accuracy </w:t>
      </w:r>
    </w:p>
    <w:p w14:paraId="00000035">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Precision </w:t>
      </w:r>
    </w:p>
    <w:p w14:paraId="00000036">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Recall </w:t>
      </w:r>
    </w:p>
    <w:p w14:paraId="00000037">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F1-score </w:t>
      </w:r>
    </w:p>
    <w:p w14:paraId="00000038">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ROC-AUC </w:t>
      </w:r>
    </w:p>
    <w:p w14:paraId="0000003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The evaluation results are shown below.</w:t>
      </w:r>
    </w:p>
    <w:tbl>
      <w:tblPr>
        <w:bidiVisual w:val="off"/>
        <w:tblW w:w="9324" w:type="dxa"/>
        <w:jc w:val="left"/>
        <w:tblLayout w:type="fixed"/>
        <w:tblCellMar>
          <w:top w:w="10" w:type="dxa"/>
          <w:left w:w="10" w:type="dxa"/>
          <w:bottom w:w="10" w:type="dxa"/>
          <w:right w:w="10" w:type="dxa"/>
        </w:tblCellMar>
      </w:tblPr>
      <w:tblGrid>
        <w:gridCol w:w="2280"/>
        <w:gridCol w:w="948"/>
        <w:gridCol w:w="1356"/>
        <w:gridCol w:w="936"/>
        <w:gridCol w:w="1200"/>
        <w:gridCol w:w="2604"/>
      </w:tblGrid>
      <w:tr>
        <w:trPr>
          <w:wBefore w:w="0" w:type="dxa"/>
          <w:jc w:val="left"/>
        </w:trPr>
        <w:tc>
          <w:tcPr>
            <w:cnfStyle w:val="100010000000"/>
            <w:tcW w:w="2280" w:type="dxa"/>
            <w:tcBorders>
              <w:top w:val="single" w:color="000000" w:sz="4" w:space="0"/>
              <w:left w:val="single" w:color="000000" w:sz="4" w:space="0"/>
              <w:bottom w:val="single" w:color="000000" w:sz="4" w:space="0"/>
              <w:right w:val="single" w:color="000000" w:sz="4" w:space="0"/>
            </w:tcBorders>
            <w:vAlign w:val="top"/>
          </w:tcPr>
          <w:p w14:paraId="0000003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Model</w:t>
            </w:r>
          </w:p>
        </w:tc>
        <w:tc>
          <w:tcPr>
            <w:cnfStyle w:val="100001000000"/>
            <w:tcW w:w="948" w:type="dxa"/>
            <w:tcBorders>
              <w:top w:val="single" w:color="000000" w:sz="4" w:space="0"/>
              <w:left w:val="single" w:color="000000" w:sz="4" w:space="0"/>
              <w:bottom w:val="single" w:color="000000" w:sz="4" w:space="0"/>
              <w:right w:val="single" w:color="000000" w:sz="4" w:space="0"/>
            </w:tcBorders>
            <w:vAlign w:val="top"/>
          </w:tcPr>
          <w:p w14:paraId="0000003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Accuracy</w:t>
            </w:r>
          </w:p>
        </w:tc>
        <w:tc>
          <w:tcPr>
            <w:cnfStyle w:val="100010000000"/>
            <w:tcW w:w="1356" w:type="dxa"/>
            <w:tcBorders>
              <w:top w:val="single" w:color="000000" w:sz="4" w:space="0"/>
              <w:left w:val="single" w:color="000000" w:sz="4" w:space="0"/>
              <w:bottom w:val="single" w:color="000000" w:sz="4" w:space="0"/>
              <w:right w:val="single" w:color="000000" w:sz="4" w:space="0"/>
            </w:tcBorders>
            <w:vAlign w:val="top"/>
          </w:tcPr>
          <w:p w14:paraId="0000003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Precision</w:t>
            </w:r>
          </w:p>
        </w:tc>
        <w:tc>
          <w:tcPr>
            <w:cnfStyle w:val="100001000000"/>
            <w:tcW w:w="936" w:type="dxa"/>
            <w:tcBorders>
              <w:top w:val="single" w:color="000000" w:sz="4" w:space="0"/>
              <w:left w:val="single" w:color="000000" w:sz="4" w:space="0"/>
              <w:bottom w:val="single" w:color="000000" w:sz="4" w:space="0"/>
              <w:right w:val="single" w:color="000000" w:sz="4" w:space="0"/>
            </w:tcBorders>
            <w:vAlign w:val="top"/>
          </w:tcPr>
          <w:p w14:paraId="0000003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Recall</w:t>
            </w:r>
          </w:p>
        </w:tc>
        <w:tc>
          <w:tcPr>
            <w:cnfStyle w:val="100010000000"/>
            <w:tcW w:w="1200" w:type="dxa"/>
            <w:tcBorders>
              <w:top w:val="single" w:color="000000" w:sz="4" w:space="0"/>
              <w:left w:val="single" w:color="000000" w:sz="4" w:space="0"/>
              <w:bottom w:val="single" w:color="000000" w:sz="4" w:space="0"/>
              <w:right w:val="single" w:color="000000" w:sz="4" w:space="0"/>
            </w:tcBorders>
            <w:vAlign w:val="top"/>
          </w:tcPr>
          <w:p w14:paraId="0000003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F1-Score</w:t>
            </w:r>
          </w:p>
        </w:tc>
        <w:tc>
          <w:tcPr>
            <w:cnfStyle w:val="100001000000"/>
            <w:tcW w:w="2604" w:type="dxa"/>
            <w:tcBorders>
              <w:top w:val="single" w:color="000000" w:sz="4" w:space="0"/>
              <w:left w:val="single" w:color="000000" w:sz="4" w:space="0"/>
              <w:bottom w:val="single" w:color="000000" w:sz="4" w:space="0"/>
              <w:right w:val="single" w:color="000000" w:sz="4" w:space="0"/>
            </w:tcBorders>
            <w:vAlign w:val="top"/>
          </w:tcPr>
          <w:p w14:paraId="0000003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right="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 xml:space="preserve">     ROC-AUC</w:t>
            </w:r>
          </w:p>
        </w:tc>
      </w:tr>
      <w:tr>
        <w:trPr>
          <w:wBefore w:w="0" w:type="dxa"/>
          <w:jc w:val="left"/>
        </w:trPr>
        <w:tc>
          <w:tcPr>
            <w:cnfStyle w:val="000010000000"/>
            <w:tcW w:w="2280" w:type="dxa"/>
            <w:tcBorders>
              <w:top w:val="single" w:color="000000" w:sz="4" w:space="0"/>
              <w:left w:val="single" w:color="000000" w:sz="4" w:space="0"/>
              <w:bottom w:val="single" w:color="000000" w:sz="4" w:space="0"/>
              <w:right w:val="single" w:color="000000" w:sz="4" w:space="0"/>
            </w:tcBorders>
            <w:vAlign w:val="top"/>
          </w:tcPr>
          <w:p w14:paraId="0000004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Logistic Regression</w:t>
            </w:r>
          </w:p>
        </w:tc>
        <w:tc>
          <w:tcPr>
            <w:cnfStyle w:val="000001000000"/>
            <w:tcW w:w="948" w:type="dxa"/>
            <w:tcBorders>
              <w:top w:val="single" w:color="000000" w:sz="4" w:space="0"/>
              <w:left w:val="single" w:color="000000" w:sz="4" w:space="0"/>
              <w:bottom w:val="single" w:color="000000" w:sz="4" w:space="0"/>
              <w:right w:val="single" w:color="000000" w:sz="4" w:space="0"/>
            </w:tcBorders>
            <w:vAlign w:val="top"/>
          </w:tcPr>
          <w:p w14:paraId="0000004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74.38%</w:t>
            </w:r>
          </w:p>
        </w:tc>
        <w:tc>
          <w:tcPr>
            <w:cnfStyle w:val="000010000000"/>
            <w:tcW w:w="1356" w:type="dxa"/>
            <w:tcBorders>
              <w:top w:val="single" w:color="000000" w:sz="4" w:space="0"/>
              <w:left w:val="single" w:color="000000" w:sz="4" w:space="0"/>
              <w:bottom w:val="single" w:color="000000" w:sz="4" w:space="0"/>
              <w:right w:val="single" w:color="000000" w:sz="4" w:space="0"/>
            </w:tcBorders>
            <w:vAlign w:val="top"/>
          </w:tcPr>
          <w:p w14:paraId="0000004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51.13%</w:t>
            </w:r>
          </w:p>
        </w:tc>
        <w:tc>
          <w:tcPr>
            <w:cnfStyle w:val="000001000000"/>
            <w:tcW w:w="936" w:type="dxa"/>
            <w:tcBorders>
              <w:top w:val="single" w:color="000000" w:sz="4" w:space="0"/>
              <w:left w:val="single" w:color="000000" w:sz="4" w:space="0"/>
              <w:bottom w:val="single" w:color="000000" w:sz="4" w:space="0"/>
              <w:right w:val="single" w:color="000000" w:sz="4" w:space="0"/>
            </w:tcBorders>
            <w:vAlign w:val="top"/>
          </w:tcPr>
          <w:p w14:paraId="0000004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b/>
                <w:color w:val="000000"/>
                <w:sz w:val="18"/>
                <w:rtl w:val="off"/>
                <w:lang w:val="en-US"/>
              </w:rPr>
              <w:t>78.61%</w:t>
            </w:r>
          </w:p>
        </w:tc>
        <w:tc>
          <w:tcPr>
            <w:cnfStyle w:val="000010000000"/>
            <w:tcW w:w="1200" w:type="dxa"/>
            <w:tcBorders>
              <w:top w:val="single" w:color="000000" w:sz="4" w:space="0"/>
              <w:left w:val="single" w:color="000000" w:sz="4" w:space="0"/>
              <w:bottom w:val="single" w:color="000000" w:sz="4" w:space="0"/>
              <w:right w:val="single" w:color="000000" w:sz="4" w:space="0"/>
            </w:tcBorders>
            <w:vAlign w:val="top"/>
          </w:tcPr>
          <w:p w14:paraId="0000004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b/>
                <w:color w:val="000000"/>
                <w:sz w:val="18"/>
                <w:rtl w:val="off"/>
                <w:lang w:val="en-US"/>
              </w:rPr>
              <w:t>61.96%</w:t>
            </w:r>
          </w:p>
        </w:tc>
        <w:tc>
          <w:tcPr>
            <w:cnfStyle w:val="000001000000"/>
            <w:tcW w:w="2604" w:type="dxa"/>
            <w:tcBorders>
              <w:top w:val="single" w:color="000000" w:sz="4" w:space="0"/>
              <w:left w:val="single" w:color="000000" w:sz="4" w:space="0"/>
              <w:bottom w:val="single" w:color="000000" w:sz="4" w:space="0"/>
              <w:right w:val="single" w:color="000000" w:sz="4" w:space="0"/>
            </w:tcBorders>
            <w:vAlign w:val="top"/>
          </w:tcPr>
          <w:p w14:paraId="0000004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b/>
                <w:color w:val="000000"/>
                <w:sz w:val="18"/>
                <w:rtl w:val="off"/>
                <w:lang w:val="en-US"/>
              </w:rPr>
              <w:t>84.75%</w:t>
            </w:r>
          </w:p>
        </w:tc>
      </w:tr>
      <w:tr>
        <w:trPr>
          <w:wBefore w:w="0" w:type="dxa"/>
          <w:jc w:val="left"/>
        </w:trPr>
        <w:tc>
          <w:tcPr>
            <w:cnfStyle w:val="000010000000"/>
            <w:tcW w:w="2280" w:type="dxa"/>
            <w:tcBorders>
              <w:top w:val="single" w:color="000000" w:sz="4" w:space="0"/>
              <w:left w:val="single" w:color="000000" w:sz="4" w:space="0"/>
              <w:bottom w:val="single" w:color="000000" w:sz="4" w:space="0"/>
              <w:right w:val="single" w:color="000000" w:sz="4" w:space="0"/>
            </w:tcBorders>
            <w:vAlign w:val="top"/>
          </w:tcPr>
          <w:p w14:paraId="0000004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Decision Tree</w:t>
            </w:r>
          </w:p>
        </w:tc>
        <w:tc>
          <w:tcPr>
            <w:cnfStyle w:val="000001000000"/>
            <w:tcW w:w="948" w:type="dxa"/>
            <w:tcBorders>
              <w:top w:val="single" w:color="000000" w:sz="4" w:space="0"/>
              <w:left w:val="single" w:color="000000" w:sz="4" w:space="0"/>
              <w:bottom w:val="single" w:color="000000" w:sz="4" w:space="0"/>
              <w:right w:val="single" w:color="000000" w:sz="4" w:space="0"/>
            </w:tcBorders>
            <w:vAlign w:val="top"/>
          </w:tcPr>
          <w:p w14:paraId="0000004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73.31%</w:t>
            </w:r>
          </w:p>
        </w:tc>
        <w:tc>
          <w:tcPr>
            <w:cnfStyle w:val="000010000000"/>
            <w:tcW w:w="1356" w:type="dxa"/>
            <w:tcBorders>
              <w:top w:val="single" w:color="000000" w:sz="4" w:space="0"/>
              <w:left w:val="single" w:color="000000" w:sz="4" w:space="0"/>
              <w:bottom w:val="single" w:color="000000" w:sz="4" w:space="0"/>
              <w:right w:val="single" w:color="000000" w:sz="4" w:space="0"/>
            </w:tcBorders>
            <w:vAlign w:val="top"/>
          </w:tcPr>
          <w:p w14:paraId="0000004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49.73%</w:t>
            </w:r>
          </w:p>
        </w:tc>
        <w:tc>
          <w:tcPr>
            <w:cnfStyle w:val="000001000000"/>
            <w:tcW w:w="936" w:type="dxa"/>
            <w:tcBorders>
              <w:top w:val="single" w:color="000000" w:sz="4" w:space="0"/>
              <w:left w:val="single" w:color="000000" w:sz="4" w:space="0"/>
              <w:bottom w:val="single" w:color="000000" w:sz="4" w:space="0"/>
              <w:right w:val="single" w:color="000000" w:sz="4" w:space="0"/>
            </w:tcBorders>
            <w:vAlign w:val="top"/>
          </w:tcPr>
          <w:p w14:paraId="0000004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49.20%</w:t>
            </w:r>
          </w:p>
        </w:tc>
        <w:tc>
          <w:tcPr>
            <w:cnfStyle w:val="000010000000"/>
            <w:tcW w:w="1200" w:type="dxa"/>
            <w:tcBorders>
              <w:top w:val="single" w:color="000000" w:sz="4" w:space="0"/>
              <w:left w:val="single" w:color="000000" w:sz="4" w:space="0"/>
              <w:bottom w:val="single" w:color="000000" w:sz="4" w:space="0"/>
              <w:right w:val="single" w:color="000000" w:sz="4" w:space="0"/>
            </w:tcBorders>
            <w:vAlign w:val="top"/>
          </w:tcPr>
          <w:p w14:paraId="0000004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49.46%</w:t>
            </w:r>
          </w:p>
        </w:tc>
        <w:tc>
          <w:tcPr>
            <w:cnfStyle w:val="000001000000"/>
            <w:tcW w:w="2604" w:type="dxa"/>
            <w:tcBorders>
              <w:top w:val="single" w:color="000000" w:sz="4" w:space="0"/>
              <w:left w:val="single" w:color="000000" w:sz="4" w:space="0"/>
              <w:bottom w:val="single" w:color="000000" w:sz="4" w:space="0"/>
              <w:right w:val="single" w:color="000000" w:sz="4" w:space="0"/>
            </w:tcBorders>
            <w:vAlign w:val="top"/>
          </w:tcPr>
          <w:p w14:paraId="0000004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65.66%</w:t>
            </w:r>
          </w:p>
        </w:tc>
      </w:tr>
      <w:tr>
        <w:trPr>
          <w:wBefore w:w="0" w:type="dxa"/>
          <w:jc w:val="left"/>
        </w:trPr>
        <w:tc>
          <w:tcPr>
            <w:cnfStyle w:val="000010000000"/>
            <w:tcW w:w="2280" w:type="dxa"/>
            <w:tcBorders>
              <w:top w:val="single" w:color="000000" w:sz="4" w:space="0"/>
              <w:left w:val="single" w:color="000000" w:sz="4" w:space="0"/>
              <w:bottom w:val="single" w:color="000000" w:sz="4" w:space="0"/>
              <w:right w:val="single" w:color="000000" w:sz="4" w:space="0"/>
            </w:tcBorders>
            <w:vAlign w:val="top"/>
          </w:tcPr>
          <w:p w14:paraId="0000004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Random Forest</w:t>
            </w:r>
          </w:p>
        </w:tc>
        <w:tc>
          <w:tcPr>
            <w:cnfStyle w:val="000001000000"/>
            <w:tcW w:w="948" w:type="dxa"/>
            <w:tcBorders>
              <w:top w:val="single" w:color="000000" w:sz="4" w:space="0"/>
              <w:left w:val="single" w:color="000000" w:sz="4" w:space="0"/>
              <w:bottom w:val="single" w:color="000000" w:sz="4" w:space="0"/>
              <w:right w:val="single" w:color="000000" w:sz="4" w:space="0"/>
            </w:tcBorders>
            <w:vAlign w:val="top"/>
          </w:tcPr>
          <w:p w14:paraId="0000004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77.22%</w:t>
            </w:r>
          </w:p>
        </w:tc>
        <w:tc>
          <w:tcPr>
            <w:cnfStyle w:val="000010000000"/>
            <w:tcW w:w="1356" w:type="dxa"/>
            <w:tcBorders>
              <w:top w:val="single" w:color="000000" w:sz="4" w:space="0"/>
              <w:left w:val="single" w:color="000000" w:sz="4" w:space="0"/>
              <w:bottom w:val="single" w:color="000000" w:sz="4" w:space="0"/>
              <w:right w:val="single" w:color="000000" w:sz="4" w:space="0"/>
            </w:tcBorders>
            <w:vAlign w:val="top"/>
          </w:tcPr>
          <w:p w14:paraId="0000004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56.24%</w:t>
            </w:r>
          </w:p>
        </w:tc>
        <w:tc>
          <w:tcPr>
            <w:cnfStyle w:val="000001000000"/>
            <w:tcW w:w="936" w:type="dxa"/>
            <w:tcBorders>
              <w:top w:val="single" w:color="000000" w:sz="4" w:space="0"/>
              <w:left w:val="single" w:color="000000" w:sz="4" w:space="0"/>
              <w:bottom w:val="single" w:color="000000" w:sz="4" w:space="0"/>
              <w:right w:val="single" w:color="000000" w:sz="4" w:space="0"/>
            </w:tcBorders>
            <w:vAlign w:val="top"/>
          </w:tcPr>
          <w:p w14:paraId="0000004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63.90%</w:t>
            </w:r>
          </w:p>
        </w:tc>
        <w:tc>
          <w:tcPr>
            <w:cnfStyle w:val="000010000000"/>
            <w:tcW w:w="1200" w:type="dxa"/>
            <w:tcBorders>
              <w:top w:val="single" w:color="000000" w:sz="4" w:space="0"/>
              <w:left w:val="single" w:color="000000" w:sz="4" w:space="0"/>
              <w:bottom w:val="single" w:color="000000" w:sz="4" w:space="0"/>
              <w:right w:val="single" w:color="000000" w:sz="4" w:space="0"/>
            </w:tcBorders>
            <w:vAlign w:val="top"/>
          </w:tcPr>
          <w:p w14:paraId="0000005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59.82%</w:t>
            </w:r>
          </w:p>
        </w:tc>
        <w:tc>
          <w:tcPr>
            <w:cnfStyle w:val="000001000000"/>
            <w:tcW w:w="2604" w:type="dxa"/>
            <w:tcBorders>
              <w:top w:val="single" w:color="000000" w:sz="4" w:space="0"/>
              <w:left w:val="single" w:color="000000" w:sz="4" w:space="0"/>
              <w:bottom w:val="single" w:color="000000" w:sz="4" w:space="0"/>
              <w:right w:val="single" w:color="000000" w:sz="4" w:space="0"/>
            </w:tcBorders>
            <w:vAlign w:val="top"/>
          </w:tcPr>
          <w:p w14:paraId="0000005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82.52%</w:t>
            </w:r>
          </w:p>
        </w:tc>
      </w:tr>
      <w:tr>
        <w:trPr>
          <w:wBefore w:w="0" w:type="dxa"/>
          <w:trHeight w:val="1" w:hRule="atLeast"/>
          <w:jc w:val="left"/>
        </w:trPr>
        <w:tc>
          <w:tcPr>
            <w:cnfStyle w:val="000010000000"/>
            <w:tcW w:w="2280" w:type="dxa"/>
            <w:tcBorders>
              <w:top w:val="single" w:color="000000" w:sz="4" w:space="0"/>
              <w:left w:val="single" w:color="000000" w:sz="4" w:space="0"/>
              <w:bottom w:val="single" w:color="000000" w:sz="4" w:space="0"/>
              <w:right w:val="single" w:color="000000" w:sz="4" w:space="0"/>
            </w:tcBorders>
            <w:vAlign w:val="top"/>
          </w:tcPr>
          <w:p w14:paraId="0000005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Support Vector Machine</w:t>
            </w:r>
          </w:p>
        </w:tc>
        <w:tc>
          <w:tcPr>
            <w:cnfStyle w:val="000001000000"/>
            <w:tcW w:w="948" w:type="dxa"/>
            <w:tcBorders>
              <w:top w:val="single" w:color="000000" w:sz="4" w:space="0"/>
              <w:left w:val="single" w:color="000000" w:sz="4" w:space="0"/>
              <w:bottom w:val="single" w:color="000000" w:sz="4" w:space="0"/>
              <w:right w:val="single" w:color="000000" w:sz="4" w:space="0"/>
            </w:tcBorders>
            <w:vAlign w:val="top"/>
          </w:tcPr>
          <w:p w14:paraId="0000005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b/>
                <w:color w:val="000000"/>
                <w:sz w:val="18"/>
                <w:rtl w:val="off"/>
                <w:lang w:val="en-US"/>
              </w:rPr>
              <w:t>78.92%</w:t>
            </w:r>
          </w:p>
        </w:tc>
        <w:tc>
          <w:tcPr>
            <w:cnfStyle w:val="000010000000"/>
            <w:tcW w:w="1356" w:type="dxa"/>
            <w:tcBorders>
              <w:top w:val="single" w:color="000000" w:sz="4" w:space="0"/>
              <w:left w:val="single" w:color="000000" w:sz="4" w:space="0"/>
              <w:bottom w:val="single" w:color="000000" w:sz="4" w:space="0"/>
              <w:right w:val="single" w:color="000000" w:sz="4" w:space="0"/>
            </w:tcBorders>
            <w:vAlign w:val="top"/>
          </w:tcPr>
          <w:p w14:paraId="0000005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b/>
                <w:color w:val="000000"/>
                <w:sz w:val="18"/>
                <w:rtl w:val="off"/>
                <w:lang w:val="en-US"/>
              </w:rPr>
              <w:t>59.80%</w:t>
            </w:r>
          </w:p>
        </w:tc>
        <w:tc>
          <w:tcPr>
            <w:cnfStyle w:val="000001000000"/>
            <w:tcW w:w="936" w:type="dxa"/>
            <w:tcBorders>
              <w:top w:val="single" w:color="000000" w:sz="4" w:space="0"/>
              <w:left w:val="single" w:color="000000" w:sz="4" w:space="0"/>
              <w:bottom w:val="single" w:color="000000" w:sz="4" w:space="0"/>
              <w:right w:val="single" w:color="000000" w:sz="4" w:space="0"/>
            </w:tcBorders>
            <w:vAlign w:val="top"/>
          </w:tcPr>
          <w:p w14:paraId="0000005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62.83%</w:t>
            </w:r>
          </w:p>
        </w:tc>
        <w:tc>
          <w:tcPr>
            <w:cnfStyle w:val="000010000000"/>
            <w:tcW w:w="1200" w:type="dxa"/>
            <w:tcBorders>
              <w:top w:val="single" w:color="000000" w:sz="4" w:space="0"/>
              <w:left w:val="single" w:color="000000" w:sz="4" w:space="0"/>
              <w:bottom w:val="single" w:color="000000" w:sz="4" w:space="0"/>
              <w:right w:val="single" w:color="000000" w:sz="4" w:space="0"/>
            </w:tcBorders>
            <w:vAlign w:val="top"/>
          </w:tcPr>
          <w:p w14:paraId="0000005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61.28%</w:t>
            </w:r>
          </w:p>
        </w:tc>
        <w:tc>
          <w:tcPr>
            <w:cnfStyle w:val="000001000000"/>
            <w:tcW w:w="2604" w:type="dxa"/>
            <w:tcBorders>
              <w:top w:val="single" w:color="000000" w:sz="4" w:space="0"/>
              <w:left w:val="single" w:color="000000" w:sz="4" w:space="0"/>
              <w:bottom w:val="single" w:color="000000" w:sz="4" w:space="0"/>
              <w:right w:val="single" w:color="000000" w:sz="4" w:space="0"/>
            </w:tcBorders>
            <w:vAlign w:val="top"/>
          </w:tcPr>
          <w:p w14:paraId="0000005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82.89%</w:t>
            </w:r>
          </w:p>
        </w:tc>
      </w:tr>
    </w:tbl>
    <w:p w14:paraId="0000005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The results demonstrate that each model has different strengths.</w:t>
      </w:r>
    </w:p>
    <w:p w14:paraId="0000005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The </w:t>
      </w:r>
      <w:r>
        <w:rPr>
          <w:rFonts w:ascii="Times New Roman" w:cs="Times New Roman" w:hAnsi="Times New Roman"/>
          <w:b/>
          <w:color w:val="000000"/>
          <w:sz w:val="22"/>
          <w:szCs w:val="22"/>
          <w:rtl w:val="off"/>
          <w:lang w:val="en-US"/>
        </w:rPr>
        <w:t>Support Vector Machine</w:t>
      </w:r>
      <w:r>
        <w:rPr>
          <w:rFonts w:ascii="Times New Roman" w:cs="Times New Roman" w:hAnsi="Times New Roman"/>
          <w:color w:val="000000"/>
          <w:sz w:val="22"/>
          <w:szCs w:val="22"/>
          <w:rtl w:val="off"/>
          <w:lang w:val="en-US"/>
        </w:rPr>
        <w:t xml:space="preserve"> achieved the highest accuracy of </w:t>
      </w:r>
      <w:r>
        <w:rPr>
          <w:rFonts w:ascii="Times New Roman" w:cs="Times New Roman" w:hAnsi="Times New Roman"/>
          <w:b/>
          <w:color w:val="000000"/>
          <w:sz w:val="22"/>
          <w:szCs w:val="22"/>
          <w:rtl w:val="off"/>
          <w:lang w:val="en-US"/>
        </w:rPr>
        <w:t>78.92%</w:t>
      </w:r>
      <w:r>
        <w:rPr>
          <w:rFonts w:ascii="Times New Roman" w:cs="Times New Roman" w:hAnsi="Times New Roman"/>
          <w:color w:val="000000"/>
          <w:sz w:val="22"/>
          <w:szCs w:val="22"/>
          <w:rtl w:val="off"/>
          <w:lang w:val="en-US"/>
        </w:rPr>
        <w:t xml:space="preserve">. It also achieved the highest precision of </w:t>
      </w:r>
      <w:r>
        <w:rPr>
          <w:rFonts w:ascii="Times New Roman" w:cs="Times New Roman" w:hAnsi="Times New Roman"/>
          <w:b/>
          <w:color w:val="000000"/>
          <w:sz w:val="22"/>
          <w:szCs w:val="22"/>
          <w:rtl w:val="off"/>
          <w:lang w:val="en-US"/>
        </w:rPr>
        <w:t>59.80%</w:t>
      </w:r>
      <w:r>
        <w:rPr>
          <w:rFonts w:ascii="Times New Roman" w:cs="Times New Roman" w:hAnsi="Times New Roman"/>
          <w:color w:val="000000"/>
          <w:sz w:val="22"/>
          <w:szCs w:val="22"/>
          <w:rtl w:val="off"/>
          <w:lang w:val="en-US"/>
        </w:rPr>
        <w:t>. This means that, among the models evaluated, SVM produced the strongest overall prediction accuracy and the highest proportion of correctly predicted churn cases among its positive predictions.</w:t>
      </w:r>
    </w:p>
    <w:p w14:paraId="0000005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However, </w:t>
      </w:r>
      <w:r>
        <w:rPr>
          <w:rFonts w:ascii="Times New Roman" w:cs="Times New Roman" w:hAnsi="Times New Roman"/>
          <w:b/>
          <w:color w:val="000000"/>
          <w:sz w:val="22"/>
          <w:szCs w:val="22"/>
          <w:rtl w:val="off"/>
          <w:lang w:val="en-US"/>
        </w:rPr>
        <w:t>Logistic Regression achieved the highest recall of 78.61%</w:t>
      </w:r>
      <w:r>
        <w:rPr>
          <w:rFonts w:ascii="Times New Roman" w:cs="Times New Roman" w:hAnsi="Times New Roman"/>
          <w:color w:val="000000"/>
          <w:sz w:val="22"/>
          <w:szCs w:val="22"/>
          <w:rtl w:val="off"/>
          <w:lang w:val="en-US"/>
        </w:rPr>
        <w:t>. This means that it identified approximately 79 out of every 100 actual churners in the test dataset.</w:t>
      </w:r>
    </w:p>
    <w:p w14:paraId="0000005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Logistic Regression also achieved the highest F1-score of </w:t>
      </w:r>
      <w:r>
        <w:rPr>
          <w:rFonts w:ascii="Times New Roman" w:cs="Times New Roman" w:hAnsi="Times New Roman"/>
          <w:b/>
          <w:color w:val="000000"/>
          <w:sz w:val="22"/>
          <w:szCs w:val="22"/>
          <w:rtl w:val="off"/>
          <w:lang w:val="en-US"/>
        </w:rPr>
        <w:t>61.96%</w:t>
      </w:r>
      <w:r>
        <w:rPr>
          <w:rFonts w:ascii="Times New Roman" w:cs="Times New Roman" w:hAnsi="Times New Roman"/>
          <w:color w:val="000000"/>
          <w:sz w:val="22"/>
          <w:szCs w:val="22"/>
          <w:rtl w:val="off"/>
          <w:lang w:val="en-US"/>
        </w:rPr>
        <w:t xml:space="preserve"> and the highest ROC-AUC score of </w:t>
      </w:r>
      <w:r>
        <w:rPr>
          <w:rFonts w:ascii="Times New Roman" w:cs="Times New Roman" w:hAnsi="Times New Roman"/>
          <w:b/>
          <w:color w:val="000000"/>
          <w:sz w:val="22"/>
          <w:szCs w:val="22"/>
          <w:rtl w:val="off"/>
          <w:lang w:val="en-US"/>
        </w:rPr>
        <w:t>84.75%</w:t>
      </w:r>
      <w:r>
        <w:rPr>
          <w:rFonts w:ascii="Times New Roman" w:cs="Times New Roman" w:hAnsi="Times New Roman"/>
          <w:color w:val="000000"/>
          <w:sz w:val="22"/>
          <w:szCs w:val="22"/>
          <w:rtl w:val="off"/>
          <w:lang w:val="en-US"/>
        </w:rPr>
        <w:t>.</w:t>
      </w:r>
    </w:p>
    <w:p w14:paraId="0000005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The Decision Tree produced the weakest overall performance, particularly in Recall and ROC-AUC.</w:t>
      </w:r>
    </w:p>
    <w:p w14:paraId="0000005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Random Forest performed better than the Decision Tree and demonstrated strong overall performance, but it did not outperform Logistic Regression in Recall or SVM in Accuracy.</w:t>
      </w:r>
    </w:p>
    <w:p w14:paraId="0000005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203864" w:themeColor="accent1" w:themeShade="80"/>
          <w:sz w:val="44"/>
          <w:rtl w:val="off"/>
          <w:lang w:val="en-US"/>
        </w:rPr>
      </w:pPr>
    </w:p>
    <w:p w14:paraId="0000005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203864" w:themeColor="accent1" w:themeShade="80"/>
          <w:sz w:val="32"/>
          <w:szCs w:val="32"/>
          <w:u w:val="single"/>
          <w:lang w:val="en-US"/>
        </w:rPr>
      </w:pPr>
      <w:r>
        <w:rPr>
          <w:rFonts w:ascii="Times New Roman" w:cs="Times New Roman" w:hAnsi="Times New Roman"/>
          <w:color w:val="203864" w:themeColor="accent1" w:themeShade="80"/>
          <w:sz w:val="32"/>
          <w:szCs w:val="32"/>
          <w:u w:val="single"/>
          <w:rtl w:val="off"/>
          <w:lang w:val="en-US"/>
        </w:rPr>
        <w:t>5. MODEL COMPARISON</w:t>
      </w:r>
    </w:p>
    <w:p w14:paraId="0000006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A direct comparison of the models is presented below.</w:t>
      </w:r>
    </w:p>
    <w:tbl>
      <w:tblPr>
        <w:bidiVisual w:val="off"/>
        <w:tblW w:w="9731" w:type="dxa"/>
        <w:jc w:val="left"/>
        <w:tblLayout w:type="fixed"/>
        <w:tblCellMar>
          <w:top w:w="10" w:type="dxa"/>
          <w:left w:w="10" w:type="dxa"/>
          <w:bottom w:w="10" w:type="dxa"/>
          <w:right w:w="10" w:type="dxa"/>
        </w:tblCellMar>
      </w:tblPr>
      <w:tblGrid>
        <w:gridCol w:w="1653"/>
        <w:gridCol w:w="3001"/>
        <w:gridCol w:w="3198"/>
        <w:gridCol w:w="1877"/>
      </w:tblGrid>
      <w:tr>
        <w:trPr>
          <w:wBefore w:w="0" w:type="dxa"/>
          <w:trHeight w:val="233" w:hRule="atLeast"/>
          <w:jc w:val="left"/>
        </w:trPr>
        <w:tc>
          <w:tcPr>
            <w:cnfStyle w:val="100010000000"/>
            <w:tcW w:w="1653" w:type="dxa"/>
            <w:tcBorders>
              <w:top w:val="single" w:color="000000" w:sz="4" w:space="0"/>
              <w:left w:val="single" w:color="000000" w:sz="4" w:space="0"/>
              <w:bottom w:val="single" w:color="000000" w:sz="4" w:space="0"/>
              <w:right w:val="single" w:color="000000" w:sz="4" w:space="0"/>
            </w:tcBorders>
            <w:vAlign w:val="top"/>
          </w:tcPr>
          <w:p w14:paraId="0000006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Model</w:t>
            </w:r>
          </w:p>
        </w:tc>
        <w:tc>
          <w:tcPr>
            <w:cnfStyle w:val="100001000000"/>
            <w:tcW w:w="3001" w:type="dxa"/>
            <w:tcBorders>
              <w:top w:val="single" w:color="000000" w:sz="4" w:space="0"/>
              <w:left w:val="single" w:color="000000" w:sz="4" w:space="0"/>
              <w:bottom w:val="single" w:color="000000" w:sz="4" w:space="0"/>
              <w:right w:val="single" w:color="000000" w:sz="4" w:space="0"/>
            </w:tcBorders>
            <w:vAlign w:val="top"/>
          </w:tcPr>
          <w:p w14:paraId="0000006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Main Strength</w:t>
            </w:r>
          </w:p>
        </w:tc>
        <w:tc>
          <w:tcPr>
            <w:cnfStyle w:val="100010000000"/>
            <w:tcW w:w="3198" w:type="dxa"/>
            <w:tcBorders>
              <w:top w:val="single" w:color="000000" w:sz="4" w:space="0"/>
              <w:left w:val="single" w:color="000000" w:sz="4" w:space="0"/>
              <w:bottom w:val="single" w:color="000000" w:sz="4" w:space="0"/>
              <w:right w:val="single" w:color="000000" w:sz="4" w:space="0"/>
            </w:tcBorders>
            <w:vAlign w:val="top"/>
          </w:tcPr>
          <w:p w14:paraId="0000006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Main Limitation</w:t>
            </w:r>
          </w:p>
        </w:tc>
        <w:tc>
          <w:tcPr>
            <w:cnfStyle w:val="100001000000"/>
            <w:tcW w:w="1877" w:type="dxa"/>
            <w:tcBorders>
              <w:top w:val="single" w:color="000000" w:sz="4" w:space="0"/>
              <w:left w:val="single" w:color="000000" w:sz="4" w:space="0"/>
              <w:bottom w:val="single" w:color="000000" w:sz="4" w:space="0"/>
              <w:right w:val="single" w:color="000000" w:sz="4" w:space="0"/>
            </w:tcBorders>
            <w:vAlign w:val="top"/>
          </w:tcPr>
          <w:p w14:paraId="0000006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Business Suitability</w:t>
            </w:r>
          </w:p>
        </w:tc>
      </w:tr>
      <w:tr>
        <w:trPr>
          <w:wBefore w:w="0" w:type="dxa"/>
          <w:trHeight w:val="233" w:hRule="atLeast"/>
          <w:jc w:val="left"/>
        </w:trPr>
        <w:tc>
          <w:tcPr>
            <w:cnfStyle w:val="000010000000"/>
            <w:tcW w:w="1653" w:type="dxa"/>
            <w:tcBorders>
              <w:top w:val="single" w:color="000000" w:sz="4" w:space="0"/>
              <w:left w:val="single" w:color="000000" w:sz="4" w:space="0"/>
              <w:bottom w:val="single" w:color="000000" w:sz="4" w:space="0"/>
              <w:right w:val="single" w:color="000000" w:sz="4" w:space="0"/>
            </w:tcBorders>
            <w:vAlign w:val="top"/>
          </w:tcPr>
          <w:p w14:paraId="0000006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Logistic Regression</w:t>
            </w:r>
          </w:p>
        </w:tc>
        <w:tc>
          <w:tcPr>
            <w:cnfStyle w:val="000001000000"/>
            <w:tcW w:w="3001" w:type="dxa"/>
            <w:tcBorders>
              <w:top w:val="single" w:color="000000" w:sz="4" w:space="0"/>
              <w:left w:val="single" w:color="000000" w:sz="4" w:space="0"/>
              <w:bottom w:val="single" w:color="000000" w:sz="4" w:space="0"/>
              <w:right w:val="single" w:color="000000" w:sz="4" w:space="0"/>
            </w:tcBorders>
            <w:vAlign w:val="top"/>
          </w:tcPr>
          <w:p w14:paraId="0000006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Highest Recall and strong ROC-AUC</w:t>
            </w:r>
          </w:p>
        </w:tc>
        <w:tc>
          <w:tcPr>
            <w:cnfStyle w:val="000010000000"/>
            <w:tcW w:w="3198" w:type="dxa"/>
            <w:tcBorders>
              <w:top w:val="single" w:color="000000" w:sz="4" w:space="0"/>
              <w:left w:val="single" w:color="000000" w:sz="4" w:space="0"/>
              <w:bottom w:val="single" w:color="000000" w:sz="4" w:space="0"/>
              <w:right w:val="single" w:color="000000" w:sz="4" w:space="0"/>
            </w:tcBorders>
            <w:vAlign w:val="top"/>
          </w:tcPr>
          <w:p w14:paraId="0000006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Lower Accuracy than SVM</w:t>
            </w:r>
          </w:p>
        </w:tc>
        <w:tc>
          <w:tcPr>
            <w:cnfStyle w:val="000001000000"/>
            <w:tcW w:w="1877" w:type="dxa"/>
            <w:tcBorders>
              <w:top w:val="single" w:color="000000" w:sz="4" w:space="0"/>
              <w:left w:val="single" w:color="000000" w:sz="4" w:space="0"/>
              <w:bottom w:val="single" w:color="000000" w:sz="4" w:space="0"/>
              <w:right w:val="single" w:color="000000" w:sz="4" w:space="0"/>
            </w:tcBorders>
            <w:vAlign w:val="top"/>
          </w:tcPr>
          <w:p w14:paraId="0000006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High</w:t>
            </w:r>
          </w:p>
        </w:tc>
      </w:tr>
      <w:tr>
        <w:trPr>
          <w:wBefore w:w="0" w:type="dxa"/>
          <w:trHeight w:val="233" w:hRule="atLeast"/>
          <w:jc w:val="left"/>
        </w:trPr>
        <w:tc>
          <w:tcPr>
            <w:cnfStyle w:val="000010000000"/>
            <w:tcW w:w="1653" w:type="dxa"/>
            <w:tcBorders>
              <w:top w:val="single" w:color="000000" w:sz="4" w:space="0"/>
              <w:left w:val="single" w:color="000000" w:sz="4" w:space="0"/>
              <w:bottom w:val="single" w:color="000000" w:sz="4" w:space="0"/>
              <w:right w:val="single" w:color="000000" w:sz="4" w:space="0"/>
            </w:tcBorders>
            <w:vAlign w:val="top"/>
          </w:tcPr>
          <w:p w14:paraId="0000006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Decision Tree</w:t>
            </w:r>
          </w:p>
        </w:tc>
        <w:tc>
          <w:tcPr>
            <w:cnfStyle w:val="000001000000"/>
            <w:tcW w:w="3001" w:type="dxa"/>
            <w:tcBorders>
              <w:top w:val="single" w:color="000000" w:sz="4" w:space="0"/>
              <w:left w:val="single" w:color="000000" w:sz="4" w:space="0"/>
              <w:bottom w:val="single" w:color="000000" w:sz="4" w:space="0"/>
              <w:right w:val="single" w:color="000000" w:sz="4" w:space="0"/>
            </w:tcBorders>
            <w:vAlign w:val="top"/>
          </w:tcPr>
          <w:p w14:paraId="0000006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Relatively interpretable</w:t>
            </w:r>
          </w:p>
        </w:tc>
        <w:tc>
          <w:tcPr>
            <w:cnfStyle w:val="000010000000"/>
            <w:tcW w:w="3198" w:type="dxa"/>
            <w:tcBorders>
              <w:top w:val="single" w:color="000000" w:sz="4" w:space="0"/>
              <w:left w:val="single" w:color="000000" w:sz="4" w:space="0"/>
              <w:bottom w:val="single" w:color="000000" w:sz="4" w:space="0"/>
              <w:right w:val="single" w:color="000000" w:sz="4" w:space="0"/>
            </w:tcBorders>
            <w:vAlign w:val="top"/>
          </w:tcPr>
          <w:p w14:paraId="0000006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Lowest overall predictive performance</w:t>
            </w:r>
          </w:p>
        </w:tc>
        <w:tc>
          <w:tcPr>
            <w:cnfStyle w:val="000001000000"/>
            <w:tcW w:w="1877" w:type="dxa"/>
            <w:tcBorders>
              <w:top w:val="single" w:color="000000" w:sz="4" w:space="0"/>
              <w:left w:val="single" w:color="000000" w:sz="4" w:space="0"/>
              <w:bottom w:val="single" w:color="000000" w:sz="4" w:space="0"/>
              <w:right w:val="single" w:color="000000" w:sz="4" w:space="0"/>
            </w:tcBorders>
            <w:vAlign w:val="top"/>
          </w:tcPr>
          <w:p w14:paraId="0000006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Low to Medium</w:t>
            </w:r>
          </w:p>
        </w:tc>
      </w:tr>
      <w:tr>
        <w:trPr>
          <w:wBefore w:w="0" w:type="dxa"/>
          <w:trHeight w:val="445" w:hRule="atLeast"/>
          <w:jc w:val="left"/>
        </w:trPr>
        <w:tc>
          <w:tcPr>
            <w:cnfStyle w:val="000010000000"/>
            <w:tcW w:w="1653" w:type="dxa"/>
            <w:tcBorders>
              <w:top w:val="single" w:color="000000" w:sz="4" w:space="0"/>
              <w:left w:val="single" w:color="000000" w:sz="4" w:space="0"/>
              <w:bottom w:val="single" w:color="000000" w:sz="4" w:space="0"/>
              <w:right w:val="single" w:color="000000" w:sz="4" w:space="0"/>
            </w:tcBorders>
            <w:vAlign w:val="top"/>
          </w:tcPr>
          <w:p w14:paraId="0000006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Random Forest</w:t>
            </w:r>
          </w:p>
        </w:tc>
        <w:tc>
          <w:tcPr>
            <w:cnfStyle w:val="000001000000"/>
            <w:tcW w:w="3001" w:type="dxa"/>
            <w:tcBorders>
              <w:top w:val="single" w:color="000000" w:sz="4" w:space="0"/>
              <w:left w:val="single" w:color="000000" w:sz="4" w:space="0"/>
              <w:bottom w:val="single" w:color="000000" w:sz="4" w:space="0"/>
              <w:right w:val="single" w:color="000000" w:sz="4" w:space="0"/>
            </w:tcBorders>
            <w:vAlign w:val="top"/>
          </w:tcPr>
          <w:p w14:paraId="0000006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Strong ensemble performance</w:t>
            </w:r>
          </w:p>
        </w:tc>
        <w:tc>
          <w:tcPr>
            <w:cnfStyle w:val="000010000000"/>
            <w:tcW w:w="3198" w:type="dxa"/>
            <w:tcBorders>
              <w:top w:val="single" w:color="000000" w:sz="4" w:space="0"/>
              <w:left w:val="single" w:color="000000" w:sz="4" w:space="0"/>
              <w:bottom w:val="single" w:color="000000" w:sz="4" w:space="0"/>
              <w:right w:val="single" w:color="000000" w:sz="4" w:space="0"/>
            </w:tcBorders>
            <w:vAlign w:val="top"/>
          </w:tcPr>
          <w:p w14:paraId="0000006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Less interpretable than Logistic Regression</w:t>
            </w:r>
          </w:p>
        </w:tc>
        <w:tc>
          <w:tcPr>
            <w:cnfStyle w:val="000001000000"/>
            <w:tcW w:w="1877" w:type="dxa"/>
            <w:tcBorders>
              <w:top w:val="single" w:color="000000" w:sz="4" w:space="0"/>
              <w:left w:val="single" w:color="000000" w:sz="4" w:space="0"/>
              <w:bottom w:val="single" w:color="000000" w:sz="4" w:space="0"/>
              <w:right w:val="single" w:color="000000" w:sz="4" w:space="0"/>
            </w:tcBorders>
            <w:vAlign w:val="top"/>
          </w:tcPr>
          <w:p w14:paraId="0000007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High to Medium</w:t>
            </w:r>
          </w:p>
        </w:tc>
      </w:tr>
      <w:tr>
        <w:trPr>
          <w:wBefore w:w="0" w:type="dxa"/>
          <w:trHeight w:val="233" w:hRule="atLeast"/>
          <w:jc w:val="left"/>
        </w:trPr>
        <w:tc>
          <w:tcPr>
            <w:cnfStyle w:val="000010000000"/>
            <w:tcW w:w="1653" w:type="dxa"/>
            <w:tcBorders>
              <w:top w:val="single" w:color="000000" w:sz="4" w:space="0"/>
              <w:left w:val="single" w:color="000000" w:sz="4" w:space="0"/>
              <w:bottom w:val="single" w:color="000000" w:sz="4" w:space="0"/>
              <w:right w:val="single" w:color="000000" w:sz="4" w:space="0"/>
            </w:tcBorders>
            <w:vAlign w:val="top"/>
          </w:tcPr>
          <w:p w14:paraId="0000007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SVM</w:t>
            </w:r>
          </w:p>
        </w:tc>
        <w:tc>
          <w:tcPr>
            <w:cnfStyle w:val="000001000000"/>
            <w:tcW w:w="3001" w:type="dxa"/>
            <w:tcBorders>
              <w:top w:val="single" w:color="000000" w:sz="4" w:space="0"/>
              <w:left w:val="single" w:color="000000" w:sz="4" w:space="0"/>
              <w:bottom w:val="single" w:color="000000" w:sz="4" w:space="0"/>
              <w:right w:val="single" w:color="000000" w:sz="4" w:space="0"/>
            </w:tcBorders>
            <w:vAlign w:val="top"/>
          </w:tcPr>
          <w:p w14:paraId="0000007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Highest Accuracy and Precision</w:t>
            </w:r>
          </w:p>
        </w:tc>
        <w:tc>
          <w:tcPr>
            <w:cnfStyle w:val="000010000000"/>
            <w:tcW w:w="3198" w:type="dxa"/>
            <w:tcBorders>
              <w:top w:val="single" w:color="000000" w:sz="4" w:space="0"/>
              <w:left w:val="single" w:color="000000" w:sz="4" w:space="0"/>
              <w:bottom w:val="single" w:color="000000" w:sz="4" w:space="0"/>
              <w:right w:val="single" w:color="000000" w:sz="4" w:space="0"/>
            </w:tcBorders>
            <w:vAlign w:val="top"/>
          </w:tcPr>
          <w:p w14:paraId="0000007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Lower Recall than Logistic Regression</w:t>
            </w:r>
          </w:p>
        </w:tc>
        <w:tc>
          <w:tcPr>
            <w:cnfStyle w:val="000001000000"/>
            <w:tcW w:w="1877" w:type="dxa"/>
            <w:tcBorders>
              <w:top w:val="single" w:color="000000" w:sz="4" w:space="0"/>
              <w:left w:val="single" w:color="000000" w:sz="4" w:space="0"/>
              <w:bottom w:val="single" w:color="000000" w:sz="4" w:space="0"/>
              <w:right w:val="single" w:color="000000" w:sz="4" w:space="0"/>
            </w:tcBorders>
            <w:vAlign w:val="top"/>
          </w:tcPr>
          <w:p w14:paraId="0000007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Medium to High</w:t>
            </w:r>
          </w:p>
        </w:tc>
      </w:tr>
    </w:tbl>
    <w:p w14:paraId="0000007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rtl w:val="off"/>
          <w:lang w:val="en-US"/>
        </w:rPr>
        <w:t>Logistic Regression</w:t>
      </w:r>
    </w:p>
    <w:p w14:paraId="0000007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Logistic Regression is the strongest model when the business objective focuses on identifying as many actual churners as possible.</w:t>
      </w:r>
    </w:p>
    <w:p w14:paraId="0000007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Its Recall score of </w:t>
      </w:r>
      <w:r>
        <w:rPr>
          <w:rFonts w:ascii="Times New Roman" w:cs="Times New Roman" w:hAnsi="Times New Roman"/>
          <w:b/>
          <w:color w:val="000000"/>
          <w:sz w:val="22"/>
          <w:szCs w:val="22"/>
          <w:rtl w:val="off"/>
          <w:lang w:val="en-US"/>
        </w:rPr>
        <w:t>78.61%</w:t>
      </w:r>
      <w:r>
        <w:rPr>
          <w:rFonts w:ascii="Times New Roman" w:cs="Times New Roman" w:hAnsi="Times New Roman"/>
          <w:color w:val="000000"/>
          <w:sz w:val="22"/>
          <w:szCs w:val="22"/>
          <w:rtl w:val="off"/>
          <w:lang w:val="en-US"/>
        </w:rPr>
        <w:t xml:space="preserve"> was the highest among all four models. Its ROC-AUC score of </w:t>
      </w:r>
      <w:r>
        <w:rPr>
          <w:rFonts w:ascii="Times New Roman" w:cs="Times New Roman" w:hAnsi="Times New Roman"/>
          <w:b/>
          <w:color w:val="000000"/>
          <w:sz w:val="22"/>
          <w:szCs w:val="22"/>
          <w:rtl w:val="off"/>
          <w:lang w:val="en-US"/>
        </w:rPr>
        <w:t>84.75%</w:t>
      </w:r>
      <w:r>
        <w:rPr>
          <w:rFonts w:ascii="Times New Roman" w:cs="Times New Roman" w:hAnsi="Times New Roman"/>
          <w:color w:val="000000"/>
          <w:sz w:val="22"/>
          <w:szCs w:val="22"/>
          <w:rtl w:val="off"/>
          <w:lang w:val="en-US"/>
        </w:rPr>
        <w:t xml:space="preserve"> also indicates strong ability to distinguish between churn and non-churn customers.</w:t>
      </w:r>
    </w:p>
    <w:p w14:paraId="0000007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In addition, Logistic Regression provides better interpretability than some of the more complex models.</w:t>
      </w:r>
    </w:p>
    <w:p w14:paraId="0000007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rtl w:val="off"/>
          <w:lang w:val="en-US"/>
        </w:rPr>
        <w:t>Decision Tree</w:t>
      </w:r>
    </w:p>
    <w:p w14:paraId="0000007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The Decision Tree is relatively easy to understand and interpret, but it produced the weakest predictive performance in this experiment.</w:t>
      </w:r>
    </w:p>
    <w:p w14:paraId="0000007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Its Recall score was </w:t>
      </w:r>
      <w:r>
        <w:rPr>
          <w:rFonts w:ascii="Times New Roman" w:cs="Times New Roman" w:hAnsi="Times New Roman"/>
          <w:b/>
          <w:color w:val="000000"/>
          <w:sz w:val="22"/>
          <w:szCs w:val="22"/>
          <w:rtl w:val="off"/>
          <w:lang w:val="en-US"/>
        </w:rPr>
        <w:t>49.20%</w:t>
      </w:r>
      <w:r>
        <w:rPr>
          <w:rFonts w:ascii="Times New Roman" w:cs="Times New Roman" w:hAnsi="Times New Roman"/>
          <w:color w:val="000000"/>
          <w:sz w:val="22"/>
          <w:szCs w:val="22"/>
          <w:rtl w:val="off"/>
          <w:lang w:val="en-US"/>
        </w:rPr>
        <w:t>, meaning that it missed a substantial proportion of actual churners.</w:t>
      </w:r>
    </w:p>
    <w:p w14:paraId="0000007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For this reason, it is not recommended as the preferred model for the current customer retention objective.</w:t>
      </w:r>
    </w:p>
    <w:p w14:paraId="0000007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rtl w:val="off"/>
          <w:lang w:val="en-US"/>
        </w:rPr>
        <w:t>Random Forest</w:t>
      </w:r>
    </w:p>
    <w:p w14:paraId="0000007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Random Forest achieved an Accuracy of </w:t>
      </w:r>
      <w:r>
        <w:rPr>
          <w:rFonts w:ascii="Times New Roman" w:cs="Times New Roman" w:hAnsi="Times New Roman"/>
          <w:b/>
          <w:color w:val="000000"/>
          <w:sz w:val="22"/>
          <w:szCs w:val="22"/>
          <w:rtl w:val="off"/>
          <w:lang w:val="en-US"/>
        </w:rPr>
        <w:t>77.22%</w:t>
      </w:r>
      <w:r>
        <w:rPr>
          <w:rFonts w:ascii="Times New Roman" w:cs="Times New Roman" w:hAnsi="Times New Roman"/>
          <w:color w:val="000000"/>
          <w:sz w:val="22"/>
          <w:szCs w:val="22"/>
          <w:rtl w:val="off"/>
          <w:lang w:val="en-US"/>
        </w:rPr>
        <w:t xml:space="preserve"> and a Recall of </w:t>
      </w:r>
      <w:r>
        <w:rPr>
          <w:rFonts w:ascii="Times New Roman" w:cs="Times New Roman" w:hAnsi="Times New Roman"/>
          <w:b/>
          <w:color w:val="000000"/>
          <w:sz w:val="22"/>
          <w:szCs w:val="22"/>
          <w:rtl w:val="off"/>
          <w:lang w:val="en-US"/>
        </w:rPr>
        <w:t>63.90%</w:t>
      </w:r>
      <w:r>
        <w:rPr>
          <w:rFonts w:ascii="Times New Roman" w:cs="Times New Roman" w:hAnsi="Times New Roman"/>
          <w:color w:val="000000"/>
          <w:sz w:val="22"/>
          <w:szCs w:val="22"/>
          <w:rtl w:val="off"/>
          <w:lang w:val="en-US"/>
        </w:rPr>
        <w:t>.</w:t>
      </w:r>
    </w:p>
    <w:p w14:paraId="0000007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Its ROC-AUC score of </w:t>
      </w:r>
      <w:r>
        <w:rPr>
          <w:rFonts w:ascii="Times New Roman" w:cs="Times New Roman" w:hAnsi="Times New Roman"/>
          <w:b/>
          <w:color w:val="000000"/>
          <w:sz w:val="22"/>
          <w:szCs w:val="22"/>
          <w:rtl w:val="off"/>
          <w:lang w:val="en-US"/>
        </w:rPr>
        <w:t>82.52%</w:t>
      </w:r>
      <w:r>
        <w:rPr>
          <w:rFonts w:ascii="Times New Roman" w:cs="Times New Roman" w:hAnsi="Times New Roman"/>
          <w:color w:val="000000"/>
          <w:sz w:val="22"/>
          <w:szCs w:val="22"/>
          <w:rtl w:val="off"/>
          <w:lang w:val="en-US"/>
        </w:rPr>
        <w:t xml:space="preserve"> indicates strong classification capability. However, it did not identify as many actual churners as Logistic Regression.</w:t>
      </w:r>
    </w:p>
    <w:p w14:paraId="0000008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22"/>
          <w:szCs w:val="22"/>
          <w:rtl w:val="off"/>
          <w:lang w:val="en-US"/>
        </w:rPr>
        <w:t>Random Forest remains a useful model for further tuning and experimentation, especially because ensemble models can capture more complex relationships within customer data.</w:t>
      </w:r>
    </w:p>
    <w:p w14:paraId="0000008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rtl w:val="off"/>
          <w:lang w:val="en-US"/>
        </w:rPr>
        <w:t>Support Vector Machine</w:t>
      </w:r>
    </w:p>
    <w:p w14:paraId="0000008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 xml:space="preserve">SVM achieved the highest Accuracy of </w:t>
      </w:r>
      <w:r>
        <w:rPr>
          <w:rFonts w:ascii="Times New Roman" w:cs="Times New Roman" w:hAnsi="Times New Roman"/>
          <w:b/>
          <w:color w:val="000000"/>
          <w:sz w:val="18"/>
          <w:rtl w:val="off"/>
          <w:lang w:val="en-US"/>
        </w:rPr>
        <w:t>78.92%</w:t>
      </w:r>
      <w:r>
        <w:rPr>
          <w:rFonts w:ascii="Times New Roman" w:cs="Times New Roman" w:hAnsi="Times New Roman"/>
          <w:color w:val="000000"/>
          <w:sz w:val="18"/>
          <w:rtl w:val="off"/>
          <w:lang w:val="en-US"/>
        </w:rPr>
        <w:t xml:space="preserve"> and the highest Precision of </w:t>
      </w:r>
      <w:r>
        <w:rPr>
          <w:rFonts w:ascii="Times New Roman" w:cs="Times New Roman" w:hAnsi="Times New Roman"/>
          <w:b/>
          <w:color w:val="000000"/>
          <w:sz w:val="18"/>
          <w:rtl w:val="off"/>
          <w:lang w:val="en-US"/>
        </w:rPr>
        <w:t>59.80%</w:t>
      </w:r>
      <w:r>
        <w:rPr>
          <w:rFonts w:ascii="Times New Roman" w:cs="Times New Roman" w:hAnsi="Times New Roman"/>
          <w:color w:val="000000"/>
          <w:sz w:val="18"/>
          <w:rtl w:val="off"/>
          <w:lang w:val="en-US"/>
        </w:rPr>
        <w:t>.</w:t>
      </w:r>
    </w:p>
    <w:p w14:paraId="0000008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 xml:space="preserve">However, its Recall was </w:t>
      </w:r>
      <w:r>
        <w:rPr>
          <w:rFonts w:ascii="Times New Roman" w:cs="Times New Roman" w:hAnsi="Times New Roman"/>
          <w:b/>
          <w:color w:val="000000"/>
          <w:sz w:val="18"/>
          <w:rtl w:val="off"/>
          <w:lang w:val="en-US"/>
        </w:rPr>
        <w:t>62.83%</w:t>
      </w:r>
      <w:r>
        <w:rPr>
          <w:rFonts w:ascii="Times New Roman" w:cs="Times New Roman" w:hAnsi="Times New Roman"/>
          <w:color w:val="000000"/>
          <w:sz w:val="18"/>
          <w:rtl w:val="off"/>
          <w:lang w:val="en-US"/>
        </w:rPr>
        <w:t xml:space="preserve">, which was significantly lower than the </w:t>
      </w:r>
      <w:r>
        <w:rPr>
          <w:rFonts w:ascii="Times New Roman" w:cs="Times New Roman" w:hAnsi="Times New Roman"/>
          <w:b/>
          <w:color w:val="000000"/>
          <w:sz w:val="18"/>
          <w:rtl w:val="off"/>
          <w:lang w:val="en-US"/>
        </w:rPr>
        <w:t>78.61% Recall</w:t>
      </w:r>
      <w:r>
        <w:rPr>
          <w:rFonts w:ascii="Times New Roman" w:cs="Times New Roman" w:hAnsi="Times New Roman"/>
          <w:color w:val="000000"/>
          <w:sz w:val="18"/>
          <w:rtl w:val="off"/>
          <w:lang w:val="en-US"/>
        </w:rPr>
        <w:t xml:space="preserve"> achieved by Logistic Regression.</w:t>
      </w:r>
    </w:p>
    <w:p w14:paraId="0000008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 xml:space="preserve">This demonstrates an important lesson in machine learning: </w:t>
      </w:r>
      <w:r>
        <w:rPr>
          <w:rFonts w:ascii="Times New Roman" w:cs="Times New Roman" w:hAnsi="Times New Roman"/>
          <w:b/>
          <w:color w:val="000000"/>
          <w:sz w:val="18"/>
          <w:rtl w:val="off"/>
          <w:lang w:val="en-US"/>
        </w:rPr>
        <w:t>the model with the highest accuracy is not always the best model for the business problem</w:t>
      </w:r>
      <w:r>
        <w:rPr>
          <w:rFonts w:ascii="Times New Roman" w:cs="Times New Roman" w:hAnsi="Times New Roman"/>
          <w:color w:val="000000"/>
          <w:sz w:val="18"/>
          <w:rtl w:val="off"/>
          <w:lang w:val="en-US"/>
        </w:rPr>
        <w:t>.</w:t>
      </w:r>
    </w:p>
    <w:p w14:paraId="0000008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For this project, missing actual churners can result in lost customers and missed retention opportunities. Therefore, Recall is more closely aligned with the primary business objective.</w:t>
      </w:r>
      <w:r>
        <w:rPr>
          <w:rFonts w:ascii="Times New Roman" w:cs="Times New Roman" w:hAnsi="Times New Roman"/>
          <w:color w:val="000000"/>
          <w:sz w:val="18"/>
          <w:lang w:val="en-US"/>
        </w:rPr>
        <w:br w:type="textWrapping"/>
      </w:r>
    </w:p>
    <w:p w14:paraId="0000008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203864" w:themeColor="accent1" w:themeShade="80"/>
          <w:sz w:val="32"/>
          <w:szCs w:val="32"/>
          <w:lang w:val="en-US"/>
        </w:rPr>
      </w:pPr>
      <w:r>
        <w:rPr>
          <w:rFonts w:ascii="Times New Roman" w:cs="Times New Roman" w:hAnsi="Times New Roman"/>
          <w:color w:val="203864" w:themeColor="accent1" w:themeShade="80"/>
          <w:sz w:val="32"/>
          <w:szCs w:val="32"/>
          <w:rtl w:val="off"/>
          <w:lang w:val="en-US"/>
        </w:rPr>
        <w:t>6. FEATURE IMPORTANCE</w:t>
      </w:r>
    </w:p>
    <w:p w14:paraId="0000008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Feature importance analysis was performed to understand which customer characteristics contribute to churn predictions.</w:t>
      </w:r>
    </w:p>
    <w:p w14:paraId="0000008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The project used feature importance analysis from the trained model to examine the relationship between input variables and predicted customer churn.</w:t>
      </w:r>
    </w:p>
    <w:p w14:paraId="0000008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For Logistic Regression, model coefficients can provide information about the direction of the relationship between a feature and the predicted churn outcome.</w:t>
      </w:r>
    </w:p>
    <w:p w14:paraId="0000008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In general:</w:t>
      </w:r>
    </w:p>
    <w:p w14:paraId="0000008B">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A positive coefficient is associated with an increase in predicted churn risk. </w:t>
      </w:r>
    </w:p>
    <w:p w14:paraId="0000008C">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A negative coefficient is associated with a decrease in predicted churn risk. </w:t>
      </w:r>
    </w:p>
    <w:p w14:paraId="0000008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Based on the feature analysis performed during the project, important customer characteristics were related to areas such as:</w:t>
      </w:r>
    </w:p>
    <w:p w14:paraId="0000008E">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Contract structure </w:t>
      </w:r>
    </w:p>
    <w:p w14:paraId="0000008F">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Customer tenure </w:t>
      </w:r>
    </w:p>
    <w:p w14:paraId="00000090">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Internet service </w:t>
      </w:r>
    </w:p>
    <w:p w14:paraId="00000091">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Payment method </w:t>
      </w:r>
    </w:p>
    <w:p w14:paraId="00000092">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Monthly charges </w:t>
      </w:r>
    </w:p>
    <w:p w14:paraId="00000093">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Total charges </w:t>
      </w:r>
    </w:p>
    <w:p w14:paraId="00000094">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Customer service and support-related features </w:t>
      </w:r>
    </w:p>
    <w:p w14:paraId="0000009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The previous data analysis also showed that customers on </w:t>
      </w:r>
      <w:r>
        <w:rPr>
          <w:rFonts w:ascii="Times New Roman" w:cs="Times New Roman" w:hAnsi="Times New Roman"/>
          <w:b/>
          <w:color w:val="000000"/>
          <w:sz w:val="22"/>
          <w:szCs w:val="22"/>
          <w:rtl w:val="off"/>
          <w:lang w:val="en-US"/>
        </w:rPr>
        <w:t>Month-to-Month contracts</w:t>
      </w:r>
      <w:r>
        <w:rPr>
          <w:rFonts w:ascii="Times New Roman" w:cs="Times New Roman" w:hAnsi="Times New Roman"/>
          <w:color w:val="000000"/>
          <w:sz w:val="22"/>
          <w:szCs w:val="22"/>
          <w:rtl w:val="off"/>
          <w:lang w:val="en-US"/>
        </w:rPr>
        <w:t xml:space="preserve"> were more strongly associated with churn compared with customers on longer-term contracts.</w:t>
      </w:r>
    </w:p>
    <w:p w14:paraId="0000009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Customer </w:t>
      </w:r>
      <w:r>
        <w:rPr>
          <w:rFonts w:ascii="Times New Roman" w:cs="Times New Roman" w:hAnsi="Times New Roman"/>
          <w:b/>
          <w:color w:val="000000"/>
          <w:sz w:val="22"/>
          <w:szCs w:val="22"/>
          <w:rtl w:val="off"/>
          <w:lang w:val="en-US"/>
        </w:rPr>
        <w:t>tenure</w:t>
      </w:r>
      <w:r>
        <w:rPr>
          <w:rFonts w:ascii="Times New Roman" w:cs="Times New Roman" w:hAnsi="Times New Roman"/>
          <w:color w:val="000000"/>
          <w:sz w:val="22"/>
          <w:szCs w:val="22"/>
          <w:rtl w:val="off"/>
          <w:lang w:val="en-US"/>
        </w:rPr>
        <w:t xml:space="preserve"> was also an important variable. Customers with shorter tenure were generally associated with a higher likelihood of churn, while longer customer relationships were associated with lower churn risk.</w:t>
      </w:r>
    </w:p>
    <w:p w14:paraId="0000009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Service-related variables such as technical support and online security also provided useful information for understanding customer behavior.</w:t>
      </w:r>
    </w:p>
    <w:p w14:paraId="0000009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Feature importance analysis is valuable because it allows the company to move beyond simply asking:</w:t>
      </w:r>
    </w:p>
    <w:p w14:paraId="0000009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b/>
          <w:color w:val="000000"/>
          <w:sz w:val="22"/>
          <w:szCs w:val="22"/>
          <w:rtl w:val="off"/>
          <w:lang w:val="en-US"/>
        </w:rPr>
        <w:t>“Which customer is likely to churn?”</w:t>
      </w:r>
    </w:p>
    <w:p w14:paraId="0000009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It also helps the company investigate:</w:t>
      </w:r>
    </w:p>
    <w:p w14:paraId="0000009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b/>
          <w:color w:val="000000"/>
          <w:sz w:val="22"/>
          <w:szCs w:val="22"/>
          <w:rtl w:val="off"/>
          <w:lang w:val="en-US"/>
        </w:rPr>
        <w:t>“What factors may be contributing to the customer's churn risk?”</w:t>
      </w:r>
    </w:p>
    <w:p w14:paraId="0000009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This information can support more targeted retention strategies.</w:t>
      </w:r>
    </w:p>
    <w:p w14:paraId="0000009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22"/>
          <w:szCs w:val="22"/>
          <w:rtl w:val="off"/>
          <w:lang w:val="en-US"/>
        </w:rPr>
        <w:t xml:space="preserve">However, it is important to note that feature importance and model coefficients indicate </w:t>
      </w:r>
      <w:r>
        <w:rPr>
          <w:rFonts w:ascii="Times New Roman" w:cs="Times New Roman" w:hAnsi="Times New Roman"/>
          <w:b/>
          <w:color w:val="000000"/>
          <w:sz w:val="22"/>
          <w:szCs w:val="22"/>
          <w:rtl w:val="off"/>
          <w:lang w:val="en-US"/>
        </w:rPr>
        <w:t>predictive relationships and associations</w:t>
      </w:r>
      <w:r>
        <w:rPr>
          <w:rFonts w:ascii="Times New Roman" w:cs="Times New Roman" w:hAnsi="Times New Roman"/>
          <w:color w:val="000000"/>
          <w:sz w:val="22"/>
          <w:szCs w:val="22"/>
          <w:rtl w:val="off"/>
          <w:lang w:val="en-US"/>
        </w:rPr>
        <w:t>, not necessarily causation.</w:t>
      </w:r>
      <w:r>
        <w:rPr>
          <w:rFonts w:ascii="Times New Roman" w:cs="Times New Roman" w:hAnsi="Times New Roman"/>
          <w:color w:val="000000"/>
          <w:sz w:val="18"/>
          <w:lang w:val="en-US"/>
        </w:rPr>
        <w:br w:type="textWrapping"/>
      </w:r>
    </w:p>
    <w:p w14:paraId="0000009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203864" w:themeColor="accent1" w:themeShade="80"/>
          <w:sz w:val="32"/>
          <w:szCs w:val="32"/>
          <w:lang w:val="en-US"/>
        </w:rPr>
      </w:pPr>
      <w:r>
        <w:rPr>
          <w:rFonts w:ascii="Times New Roman" w:cs="Times New Roman" w:hAnsi="Times New Roman"/>
          <w:color w:val="203864" w:themeColor="accent1" w:themeShade="80"/>
          <w:sz w:val="32"/>
          <w:szCs w:val="32"/>
          <w:rtl w:val="off"/>
          <w:lang w:val="en-US"/>
        </w:rPr>
        <w:t>7. BUSINESS RECOMMENDATIONS</w:t>
      </w:r>
    </w:p>
    <w:p w14:paraId="0000009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Based on the model evaluation results, the following recommendations are proposed.</w:t>
      </w:r>
    </w:p>
    <w:p w14:paraId="000000A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rtl w:val="off"/>
          <w:lang w:val="en-US"/>
        </w:rPr>
        <w:t>7.1 Use Logistic Regression as the Current Recommended Model</w:t>
      </w:r>
    </w:p>
    <w:p w14:paraId="000000A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Logistic Regression is recommended as the current preferred model because it achieved the highest Recall of </w:t>
      </w:r>
      <w:r>
        <w:rPr>
          <w:rFonts w:ascii="Times New Roman" w:cs="Times New Roman" w:hAnsi="Times New Roman"/>
          <w:b/>
          <w:color w:val="000000"/>
          <w:sz w:val="22"/>
          <w:szCs w:val="22"/>
          <w:rtl w:val="off"/>
          <w:lang w:val="en-US"/>
        </w:rPr>
        <w:t>78.61%</w:t>
      </w:r>
      <w:r>
        <w:rPr>
          <w:rFonts w:ascii="Times New Roman" w:cs="Times New Roman" w:hAnsi="Times New Roman"/>
          <w:color w:val="000000"/>
          <w:sz w:val="22"/>
          <w:szCs w:val="22"/>
          <w:rtl w:val="off"/>
          <w:lang w:val="en-US"/>
        </w:rPr>
        <w:t>.</w:t>
      </w:r>
    </w:p>
    <w:p w14:paraId="000000A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The main objective of the project is to identify customers who are likely to churn before they leave the company. A model that identifies more actual churners can provide the retention team with more opportunities to intervene.</w:t>
      </w:r>
    </w:p>
    <w:p w14:paraId="000000A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Although SVM achieved a higher Accuracy, it identified fewer actual churners than Logistic Regression.</w:t>
      </w:r>
    </w:p>
    <w:p w14:paraId="000000A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22"/>
          <w:szCs w:val="22"/>
          <w:rtl w:val="off"/>
          <w:lang w:val="en-US"/>
        </w:rPr>
        <w:t>Therefore, the recommended model should be selected based on the business objective rather than Accuracy alone.</w:t>
      </w:r>
    </w:p>
    <w:p w14:paraId="000000A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rtl w:val="off"/>
          <w:lang w:val="en-US"/>
        </w:rPr>
        <w:t>7.2 Use the Model as a Customer Retention Decision-Support Tool</w:t>
      </w:r>
    </w:p>
    <w:p w14:paraId="000000A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The model should initially be used to support business decision-making.</w:t>
      </w:r>
    </w:p>
    <w:p w14:paraId="000000A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Customers predicted to have a high probability of churn can be prioritized for retention actions such as:</w:t>
      </w:r>
    </w:p>
    <w:p w14:paraId="000000A8">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Targeted discounts or special offers </w:t>
      </w:r>
    </w:p>
    <w:p w14:paraId="000000A9">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Customer support follow-ups </w:t>
      </w:r>
    </w:p>
    <w:p w14:paraId="000000AA">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Technical assistance </w:t>
      </w:r>
    </w:p>
    <w:p w14:paraId="000000AB">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Service upgrades </w:t>
      </w:r>
    </w:p>
    <w:p w14:paraId="000000AC">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Contract incentives </w:t>
      </w:r>
    </w:p>
    <w:p w14:paraId="000000AD">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Personalized communication </w:t>
      </w:r>
    </w:p>
    <w:p w14:paraId="000000A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22"/>
          <w:szCs w:val="22"/>
          <w:rtl w:val="off"/>
          <w:lang w:val="en-US"/>
        </w:rPr>
        <w:t>The company should avoid applying the same retention strategy to every high-risk customer. Feature information should be used to understand the potential factors associated with customer churn risk.</w:t>
      </w:r>
    </w:p>
    <w:p w14:paraId="000000A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rtl w:val="off"/>
          <w:lang w:val="en-US"/>
        </w:rPr>
        <w:t>7.3 Monitor Retention Campaign Costs</w:t>
      </w:r>
    </w:p>
    <w:p w14:paraId="000000B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Not every predicted churner will actually churn.</w:t>
      </w:r>
    </w:p>
    <w:p w14:paraId="000000B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Therefore, the cost of retention campaigns should be monitored to ensure that interventions are financially beneficial.</w:t>
      </w:r>
    </w:p>
    <w:p w14:paraId="000000B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The company should compare:</w:t>
      </w:r>
    </w:p>
    <w:p w14:paraId="000000B3">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Cost of contacting customers </w:t>
      </w:r>
    </w:p>
    <w:p w14:paraId="000000B4">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Cost of discounts or incentives </w:t>
      </w:r>
    </w:p>
    <w:p w14:paraId="000000B5">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Revenue retained from successful interventions </w:t>
      </w:r>
    </w:p>
    <w:p w14:paraId="000000B6">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Number of actual churners identified </w:t>
      </w:r>
    </w:p>
    <w:p w14:paraId="000000B7">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Number of false positive predictions </w:t>
      </w:r>
    </w:p>
    <w:p w14:paraId="000000B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This will help connect machine learning performance with real business value.</w:t>
      </w:r>
    </w:p>
    <w:p w14:paraId="000000B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rtl w:val="off"/>
          <w:lang w:val="en-US"/>
        </w:rPr>
        <w:t>7.4 Focus on High-Risk Customer Segments</w:t>
      </w:r>
    </w:p>
    <w:p w14:paraId="000000B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The company should pay particular attention to customer segments associated with increased churn risk.</w:t>
      </w:r>
    </w:p>
    <w:p w14:paraId="000000B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Based on the project analysis, areas that may require further business attention include:</w:t>
      </w:r>
    </w:p>
    <w:p w14:paraId="000000BC">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Customers with shorter tenure </w:t>
      </w:r>
    </w:p>
    <w:p w14:paraId="000000BD">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Customers on Month-to-Month contracts </w:t>
      </w:r>
    </w:p>
    <w:p w14:paraId="000000BE">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Customers with certain service configurations </w:t>
      </w:r>
    </w:p>
    <w:p w14:paraId="000000BF">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Billing and payment-related customer groups </w:t>
      </w:r>
    </w:p>
    <w:p w14:paraId="000000C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These segments can be analyzed further to develop targeted retention strategies.</w:t>
      </w:r>
    </w:p>
    <w:p w14:paraId="000000C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p>
    <w:p w14:paraId="000000C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203864" w:themeColor="accent1" w:themeShade="80"/>
          <w:sz w:val="32"/>
          <w:szCs w:val="32"/>
          <w:u w:val="single"/>
          <w:lang w:val="en-US"/>
        </w:rPr>
      </w:pPr>
      <w:r>
        <w:rPr>
          <w:rFonts w:ascii="Times New Roman" w:cs="Times New Roman" w:hAnsi="Times New Roman"/>
          <w:color w:val="203864" w:themeColor="accent1" w:themeShade="80"/>
          <w:sz w:val="32"/>
          <w:szCs w:val="32"/>
          <w:u w:val="single"/>
          <w:rtl w:val="off"/>
          <w:lang w:val="en-US"/>
        </w:rPr>
        <w:t>8. NEXT STEPS</w:t>
      </w:r>
    </w:p>
    <w:p w14:paraId="000000C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Although the Week 3 project successfully developed and compared multiple machine learning models, further work is required before production deployment.</w:t>
      </w:r>
    </w:p>
    <w:p w14:paraId="000000C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rtl w:val="off"/>
          <w:lang w:val="en-US"/>
        </w:rPr>
        <w:t>8.1 Threshold Tuning</w:t>
      </w:r>
    </w:p>
    <w:p w14:paraId="000000C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The default classification threshold of 0.50 should be tested against alternative thresholds.</w:t>
      </w:r>
    </w:p>
    <w:p w14:paraId="000000C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Changing the classification threshold can affect the balance between Precision and Recall.</w:t>
      </w:r>
    </w:p>
    <w:p w14:paraId="000000C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40"/>
          <w:rtl w:val="off"/>
          <w:lang w:val="en-US"/>
        </w:rPr>
      </w:pPr>
      <w:r>
        <w:rPr>
          <w:rFonts w:ascii="Times New Roman" w:cs="Times New Roman" w:hAnsi="Times New Roman"/>
          <w:color w:val="000000"/>
          <w:sz w:val="22"/>
          <w:szCs w:val="22"/>
          <w:rtl w:val="off"/>
          <w:lang w:val="en-US"/>
        </w:rPr>
        <w:t>Since the project places strong importance on identifying churners, threshold tuning may help improve Recall while maintaining an acceptable number of False Positives.</w:t>
      </w:r>
    </w:p>
    <w:p w14:paraId="000000C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rtl w:val="off"/>
          <w:lang w:val="en-US"/>
        </w:rPr>
        <w:t>8.2 Cross-Validation</w:t>
      </w:r>
    </w:p>
    <w:p w14:paraId="000000C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Future modelling should use cross-validation to obtain more reliable estimates of model performance.</w:t>
      </w:r>
    </w:p>
    <w:p w14:paraId="000000C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Cross-validation allows the model to be evaluated across multiple subsets of the dataset instead of relying on only one train-test split.</w:t>
      </w:r>
    </w:p>
    <w:p w14:paraId="000000C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40"/>
          <w:rtl w:val="off"/>
          <w:lang w:val="en-US"/>
        </w:rPr>
      </w:pPr>
      <w:r>
        <w:rPr>
          <w:rFonts w:ascii="Times New Roman" w:cs="Times New Roman" w:hAnsi="Times New Roman"/>
          <w:color w:val="000000"/>
          <w:sz w:val="22"/>
          <w:szCs w:val="22"/>
          <w:rtl w:val="off"/>
          <w:lang w:val="en-US"/>
        </w:rPr>
        <w:t>This can provide greater confidence in the stability of the results.</w:t>
      </w:r>
    </w:p>
    <w:p w14:paraId="000000C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rtl w:val="off"/>
          <w:lang w:val="en-US"/>
        </w:rPr>
        <w:t>8.3 Hyperparameter Tuning</w:t>
      </w:r>
    </w:p>
    <w:p w14:paraId="000000C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The models should be further optimized using hyperparameter tuning.</w:t>
      </w:r>
    </w:p>
    <w:p w14:paraId="000000C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For example:</w:t>
      </w:r>
    </w:p>
    <w:p w14:paraId="000000CF">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Decision Tree depth can be optimized. </w:t>
      </w:r>
    </w:p>
    <w:p w14:paraId="000000D0">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Random Forest can be tuned by adjusting the number and depth of trees. </w:t>
      </w:r>
    </w:p>
    <w:p w14:paraId="000000D1">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SVM parameters can be optimized. </w:t>
      </w:r>
    </w:p>
    <w:p w14:paraId="000000D2">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Logistic Regression parameters can also be tested. </w:t>
      </w:r>
    </w:p>
    <w:p w14:paraId="000000D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22"/>
          <w:szCs w:val="22"/>
          <w:rtl w:val="off"/>
          <w:lang w:val="en-US"/>
        </w:rPr>
        <w:t>Hyperparameter optimization may improve predictive performance.</w:t>
      </w:r>
    </w:p>
    <w:p w14:paraId="000000D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rtl w:val="off"/>
          <w:lang w:val="en-US"/>
        </w:rPr>
        <w:t>8.4 Develop a Leakage-Safe Machine Learning Pipeline</w:t>
      </w:r>
    </w:p>
    <w:p w14:paraId="000000D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For a future production implementation, preprocessing transformations that learn information from the data should be fitted only on the training dataset.</w:t>
      </w:r>
    </w:p>
    <w:p w14:paraId="000000D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For example, scaling and similar transformations should be implemented using a machine learning pipeline where the transformer is fitted on training data and then applied to validation and testing data.</w:t>
      </w:r>
    </w:p>
    <w:p w14:paraId="000000D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40"/>
          <w:rtl w:val="off"/>
          <w:lang w:val="en-US"/>
        </w:rPr>
      </w:pPr>
      <w:r>
        <w:rPr>
          <w:rFonts w:ascii="Times New Roman" w:cs="Times New Roman" w:hAnsi="Times New Roman"/>
          <w:color w:val="000000"/>
          <w:sz w:val="22"/>
          <w:szCs w:val="22"/>
          <w:rtl w:val="off"/>
          <w:lang w:val="en-US"/>
        </w:rPr>
        <w:t>This helps prevent data leakage and produces more reliable estimates of real-world model performance.</w:t>
      </w:r>
    </w:p>
    <w:p w14:paraId="000000D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color w:val="000000"/>
          <w:sz w:val="40"/>
          <w:lang w:val="en-US"/>
        </w:rPr>
      </w:pPr>
      <w:r>
        <w:rPr>
          <w:rFonts w:ascii="Times New Roman" w:cs="Times New Roman" w:hAnsi="Times New Roman"/>
          <w:b/>
          <w:bCs/>
          <w:color w:val="000000"/>
          <w:sz w:val="28"/>
          <w:szCs w:val="28"/>
          <w:rtl w:val="off"/>
          <w:lang w:val="en-US"/>
        </w:rPr>
        <w:t>8.5 Cost-Sensitive Model Evaluation</w:t>
      </w:r>
    </w:p>
    <w:p w14:paraId="000000D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Future work should estimate the actual financial cost of:</w:t>
      </w:r>
    </w:p>
    <w:p w14:paraId="000000DA">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Missing a real churner </w:t>
      </w:r>
    </w:p>
    <w:p w14:paraId="000000DB">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Incorrectly targeting a customer who would not churn </w:t>
      </w:r>
    </w:p>
    <w:p w14:paraId="000000D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This would allow the model and decision threshold to be optimized based on financial impact rather than performance metrics alone.</w:t>
      </w:r>
    </w:p>
    <w:p w14:paraId="000000D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rtl w:val="off"/>
          <w:lang w:val="en-US"/>
        </w:rPr>
        <w:t>8.6 Improve Model Explainability</w:t>
      </w:r>
    </w:p>
    <w:p w14:paraId="000000D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Feature importance should be expanded using model explanation techniques such as SHAP in future work.</w:t>
      </w:r>
    </w:p>
    <w:p w14:paraId="000000D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This could help explain individual predictions and provide business teams with more detailed information about why a specific customer was classified as high risk.</w:t>
      </w:r>
    </w:p>
    <w:p w14:paraId="000000E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rtl w:val="off"/>
          <w:lang w:val="en-US"/>
        </w:rPr>
        <w:t>8.7 Model Monitoring After Deployment</w:t>
      </w:r>
    </w:p>
    <w:p w14:paraId="000000E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If the model is deployed, its performance should be continuously monitored.</w:t>
      </w:r>
    </w:p>
    <w:p w14:paraId="000000E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Important measures should include:</w:t>
      </w:r>
    </w:p>
    <w:p w14:paraId="000000E3">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Accuracy </w:t>
      </w:r>
    </w:p>
    <w:p w14:paraId="000000E4">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Recall </w:t>
      </w:r>
    </w:p>
    <w:p w14:paraId="000000E5">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Precision </w:t>
      </w:r>
    </w:p>
    <w:p w14:paraId="000000E6">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Customer churn rate </w:t>
      </w:r>
    </w:p>
    <w:p w14:paraId="000000E7">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Retention campaign ROI </w:t>
      </w:r>
    </w:p>
    <w:p w14:paraId="000000E8">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Model drift </w:t>
      </w:r>
    </w:p>
    <w:p w14:paraId="000000E9">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Changes in customer behavior </w:t>
      </w:r>
    </w:p>
    <w:p w14:paraId="000000E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Machine learning models can become less effective when customer behavior changes over time, so regular monitoring and retraining may be necessary.</w:t>
      </w:r>
      <w:r>
        <w:rPr>
          <w:rFonts w:ascii="Times New Roman" w:cs="Times New Roman" w:hAnsi="Times New Roman"/>
          <w:color w:val="000000"/>
          <w:sz w:val="22"/>
          <w:szCs w:val="22"/>
          <w:lang w:val="en-US"/>
        </w:rPr>
        <w:br w:type="textWrapping"/>
      </w:r>
    </w:p>
    <w:p w14:paraId="000000E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203864" w:themeColor="accent1" w:themeShade="80"/>
          <w:sz w:val="44"/>
          <w:u w:val="single"/>
          <w:lang w:val="en-US"/>
        </w:rPr>
      </w:pPr>
      <w:r>
        <w:rPr>
          <w:rFonts w:ascii="Times New Roman" w:cs="Times New Roman" w:hAnsi="Times New Roman"/>
          <w:color w:val="203864" w:themeColor="accent1" w:themeShade="80"/>
          <w:sz w:val="28"/>
          <w:szCs w:val="28"/>
          <w:u w:val="single"/>
          <w:rtl w:val="off"/>
          <w:lang w:val="en-US"/>
        </w:rPr>
        <w:t>9. CONCLUSION</w:t>
      </w:r>
    </w:p>
    <w:p w14:paraId="000000E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The Week 3 machine learning modelling stage successfully developed and evaluated four classification algorithms for customer churn prediction.</w:t>
      </w:r>
    </w:p>
    <w:p w14:paraId="000000E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The models evaluated were:</w:t>
      </w:r>
    </w:p>
    <w:p w14:paraId="000000EE">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Logistic Regression </w:t>
      </w:r>
    </w:p>
    <w:p w14:paraId="000000EF">
      <w:pPr>
        <w:framePr w:w="0" w:h="0" w:vAnchor="margin" w:hAnchor="text" w:x="0" w:y="0"/>
        <w:numPr>
          <w:ilvl w:val="0"/>
          <w:numId w:val="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Decision Tree </w:t>
      </w:r>
    </w:p>
    <w:p w14:paraId="000000F0">
      <w:pPr>
        <w:framePr w:w="0" w:h="0" w:vAnchor="margin" w:hAnchor="text" w:x="0" w:y="0"/>
        <w:numPr>
          <w:ilvl w:val="0"/>
          <w:numId w:val="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Random Forest </w:t>
      </w:r>
    </w:p>
    <w:p w14:paraId="000000F1">
      <w:pPr>
        <w:framePr w:w="0" w:h="0" w:vAnchor="margin" w:hAnchor="text" w:x="0" w:y="0"/>
        <w:numPr>
          <w:ilvl w:val="0"/>
          <w:numId w:val="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Support Vector Machine </w:t>
      </w:r>
    </w:p>
    <w:p w14:paraId="000000F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The results demonstrated that different models perform differently depending on the selected evaluation metric.</w:t>
      </w:r>
    </w:p>
    <w:p w14:paraId="000000F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SVM achieved the highest overall Accuracy of </w:t>
      </w:r>
      <w:r>
        <w:rPr>
          <w:rFonts w:ascii="Times New Roman" w:cs="Times New Roman" w:hAnsi="Times New Roman"/>
          <w:b/>
          <w:color w:val="000000"/>
          <w:sz w:val="22"/>
          <w:szCs w:val="22"/>
          <w:rtl w:val="off"/>
          <w:lang w:val="en-US"/>
        </w:rPr>
        <w:t>78.92%</w:t>
      </w:r>
      <w:r>
        <w:rPr>
          <w:rFonts w:ascii="Times New Roman" w:cs="Times New Roman" w:hAnsi="Times New Roman"/>
          <w:color w:val="000000"/>
          <w:sz w:val="22"/>
          <w:szCs w:val="22"/>
          <w:rtl w:val="off"/>
          <w:lang w:val="en-US"/>
        </w:rPr>
        <w:t xml:space="preserve">, while Logistic Regression achieved the highest Recall of </w:t>
      </w:r>
      <w:r>
        <w:rPr>
          <w:rFonts w:ascii="Times New Roman" w:cs="Times New Roman" w:hAnsi="Times New Roman"/>
          <w:b/>
          <w:color w:val="000000"/>
          <w:sz w:val="22"/>
          <w:szCs w:val="22"/>
          <w:rtl w:val="off"/>
          <w:lang w:val="en-US"/>
        </w:rPr>
        <w:t>78.61%</w:t>
      </w:r>
      <w:r>
        <w:rPr>
          <w:rFonts w:ascii="Times New Roman" w:cs="Times New Roman" w:hAnsi="Times New Roman"/>
          <w:color w:val="000000"/>
          <w:sz w:val="22"/>
          <w:szCs w:val="22"/>
          <w:rtl w:val="off"/>
          <w:lang w:val="en-US"/>
        </w:rPr>
        <w:t xml:space="preserve">, the highest F1-score of </w:t>
      </w:r>
      <w:r>
        <w:rPr>
          <w:rFonts w:ascii="Times New Roman" w:cs="Times New Roman" w:hAnsi="Times New Roman"/>
          <w:b/>
          <w:color w:val="000000"/>
          <w:sz w:val="22"/>
          <w:szCs w:val="22"/>
          <w:rtl w:val="off"/>
          <w:lang w:val="en-US"/>
        </w:rPr>
        <w:t>61.96%</w:t>
      </w:r>
      <w:r>
        <w:rPr>
          <w:rFonts w:ascii="Times New Roman" w:cs="Times New Roman" w:hAnsi="Times New Roman"/>
          <w:color w:val="000000"/>
          <w:sz w:val="22"/>
          <w:szCs w:val="22"/>
          <w:rtl w:val="off"/>
          <w:lang w:val="en-US"/>
        </w:rPr>
        <w:t xml:space="preserve">, and the highest ROC-AUC of </w:t>
      </w:r>
      <w:r>
        <w:rPr>
          <w:rFonts w:ascii="Times New Roman" w:cs="Times New Roman" w:hAnsi="Times New Roman"/>
          <w:b/>
          <w:color w:val="000000"/>
          <w:sz w:val="22"/>
          <w:szCs w:val="22"/>
          <w:rtl w:val="off"/>
          <w:lang w:val="en-US"/>
        </w:rPr>
        <w:t>84.75%</w:t>
      </w:r>
      <w:r>
        <w:rPr>
          <w:rFonts w:ascii="Times New Roman" w:cs="Times New Roman" w:hAnsi="Times New Roman"/>
          <w:color w:val="000000"/>
          <w:sz w:val="22"/>
          <w:szCs w:val="22"/>
          <w:rtl w:val="off"/>
          <w:lang w:val="en-US"/>
        </w:rPr>
        <w:t>.</w:t>
      </w:r>
    </w:p>
    <w:p w14:paraId="000000F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Because the primary business objective is to identify customers who are likely to churn and allow the company to take proactive retention actions, </w:t>
      </w:r>
      <w:r>
        <w:rPr>
          <w:rFonts w:ascii="Times New Roman" w:cs="Times New Roman" w:hAnsi="Times New Roman"/>
          <w:b/>
          <w:color w:val="000000"/>
          <w:sz w:val="22"/>
          <w:szCs w:val="22"/>
          <w:rtl w:val="off"/>
          <w:lang w:val="en-US"/>
        </w:rPr>
        <w:t>Logistic Regression is recommended as the current preferred model</w:t>
      </w:r>
      <w:r>
        <w:rPr>
          <w:rFonts w:ascii="Times New Roman" w:cs="Times New Roman" w:hAnsi="Times New Roman"/>
          <w:color w:val="000000"/>
          <w:sz w:val="22"/>
          <w:szCs w:val="22"/>
          <w:rtl w:val="off"/>
          <w:lang w:val="en-US"/>
        </w:rPr>
        <w:t>.</w:t>
      </w:r>
    </w:p>
    <w:p w14:paraId="000000F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 xml:space="preserve">The project also demonstrated an important machine learning principle: </w:t>
      </w:r>
      <w:r>
        <w:rPr>
          <w:rFonts w:ascii="Times New Roman" w:cs="Times New Roman" w:hAnsi="Times New Roman"/>
          <w:b/>
          <w:color w:val="000000"/>
          <w:sz w:val="22"/>
          <w:szCs w:val="22"/>
          <w:rtl w:val="off"/>
          <w:lang w:val="en-US"/>
        </w:rPr>
        <w:t>the best model should not be selected using accuracy alone. Model selection must be connected to the specific business objective and the consequences of different prediction errors.</w:t>
      </w:r>
    </w:p>
    <w:p w14:paraId="000000F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The next stage should focus on improving model reliability and deployment readiness through threshold tuning, cross-validation, hyperparameter optimization, cost-sensitive analysis, model explainability, and leakage-safe machine learning pipelines.</w:t>
      </w:r>
    </w:p>
    <w:p w14:paraId="000000F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r>
        <w:rPr>
          <w:rFonts w:ascii="Times New Roman" w:cs="Times New Roman" w:hAnsi="Times New Roman"/>
          <w:color w:val="000000"/>
          <w:sz w:val="22"/>
          <w:szCs w:val="22"/>
          <w:rtl w:val="off"/>
          <w:lang w:val="en-US"/>
        </w:rPr>
        <w:t>Overall, this project provides a strong foundation for the development of a proactive, data-driven customer retention system for ABC Communications Ltd.</w:t>
      </w:r>
    </w:p>
    <w:p w14:paraId="000000F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2"/>
          <w:szCs w:val="22"/>
          <w:lang w:val="en-US"/>
        </w:rPr>
      </w:pPr>
    </w:p>
    <w:p w14:paraId="000000F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sz w:val="24"/>
          <w:szCs w:val="24"/>
        </w:rPr>
      </w:pPr>
      <w:r>
        <w:rPr>
          <w:rFonts w:ascii="Times New Roman" w:cs="Times New Roman" w:hAnsi="Times New Roman"/>
          <w:b/>
          <w:color w:val="000000"/>
          <w:sz w:val="22"/>
          <w:szCs w:val="22"/>
          <w:rtl w:val="off"/>
          <w:lang w:val="en-US"/>
        </w:rPr>
        <w:t>AnalystLab Africa Machine Learning Internship Programme</w:t>
      </w:r>
      <w:r>
        <w:rPr>
          <w:rFonts w:ascii="Times New Roman" w:cs="Times New Roman" w:hAnsi="Times New Roman"/>
          <w:color w:val="000000"/>
          <w:sz w:val="22"/>
          <w:szCs w:val="22"/>
          <w:lang w:val="en-US"/>
        </w:rPr>
        <w:br w:type="textWrapping"/>
      </w:r>
      <w:r>
        <w:rPr>
          <w:rFonts w:ascii="Times New Roman" w:cs="Times New Roman" w:hAnsi="Times New Roman"/>
          <w:b/>
          <w:color w:val="000000"/>
          <w:sz w:val="22"/>
          <w:szCs w:val="22"/>
          <w:rtl w:val="off"/>
          <w:lang w:val="en-US"/>
        </w:rPr>
        <w:t>Week 3 — Machine Learning Model Development and Evaluation</w:t>
      </w:r>
    </w:p>
    <w:sectPr>
      <w:footnotePr/>
      <w:type w:val="nextPage"/>
      <w:pgSz w:w="11906" w:h="16838" w:orient="portrait"/>
      <w:pgMar w:top="570" w:right="930" w:bottom="570" w:left="900" w:header="708" w:footer="708" w:gutter="0"/>
      <w:paperSrc w:first="1" w:other="1"/>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00000000" w:usb2="00000008" w:usb3="00000000" w:csb0="000001ff" w:csb1="00000000"/>
  </w:font>
  <w:font w:name="Calibri">
    <w:panose1 w:val="020f0502020204030204"/>
    <w:charset w:val="00"/>
    <w:family w:val="swiss"/>
    <w:pitch w:val="variable"/>
    <w:sig w:usb0="00000000" w:usb1="4000207b" w:usb2="00000000" w:usb3="00000000" w:csb0="0000009f" w:csb1="00000000"/>
  </w:font>
  <w:font w:name="Cambria">
    <w:panose1 w:val="02040503050406030204"/>
    <w:charset w:val="00"/>
    <w:family w:val="roman"/>
    <w:pitch w:val="variable"/>
    <w:sig w:usb0="00000000" w:usb1="4000004b" w:usb2="00000000" w:usb3="00000000" w:csb0="0000009f" w:csb1="00000000"/>
  </w:font>
  <w:font w:name="Courier New">
    <w:panose1 w:val="02070309020205020404"/>
    <w:charset w:val="00"/>
    <w:family w:val="modern"/>
    <w:pitch w:val="fixed"/>
    <w:sig w:usb0="00000000" w:usb1="00000000" w:usb2="00000009" w:usb3="00000000" w:csb0="000001ff" w:csb1="00000000"/>
  </w:font>
  <w:font w:name="Times New Roman">
    <w:panose1 w:val="02020603050405020304"/>
    <w:charset w:val="00"/>
    <w:family w:val="roman"/>
    <w:pitch w:val="variable"/>
    <w:sig w:usb0="20002a87" w:usb1="00000000" w:usb2="00000008"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Consolas">
    <w:charset w:val="00"/>
  </w:font>
  <w:font w:name="Segoe UI">
    <w:charset w:val="0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abstractNum w:abstractNumId="1"/>
  <w:abstractNum w:abstractNumId="2"/>
  <w:abstractNum w:abstractNumId="3"/>
  <w:abstractNum w:abstractNumId="4"/>
  <w:abstractNum w:abstractNumId="5"/>
  <w:abstractNum w:abstractNumId="6"/>
  <w:abstractNum w:abstractNumId="7"/>
  <w:abstractNum w:abstractNumId="8"/>
  <w:abstractNum w:abstractNumId="9"/>
  <w:num w:numId="1">
    <w:abstractNumId w:val="0"/>
    <w:lvlOverride w:ilvl="0">
      <w:lvl w:ilvl="0" w:tentative="1">
        <w:numFmt w:val="bullet"/>
        <w:suff w:val="tab"/>
        <w:lvlText w:val="·"/>
        <w:rPr/>
      </w:lvl>
    </w:lvlOverride>
  </w:num>
  <w:num w:numId="2">
    <w:abstractNumId w:val="1"/>
    <w:lvlOverride w:ilvl="0">
      <w:lvl w:ilvl="0" w:tentative="1">
        <w:numFmt w:val="bullet"/>
        <w:suff w:val="tab"/>
        <w:lvlText w:val="1."/>
        <w:rPr/>
      </w:lvl>
    </w:lvlOverride>
  </w:num>
  <w:num w:numId="3">
    <w:abstractNumId w:val="2"/>
    <w:lvlOverride w:ilvl="0">
      <w:lvl w:ilvl="0" w:tentative="1">
        <w:numFmt w:val="bullet"/>
        <w:suff w:val="tab"/>
        <w:lvlText w:val="2."/>
        <w:rPr/>
      </w:lvl>
    </w:lvlOverride>
  </w:num>
  <w:num w:numId="4">
    <w:abstractNumId w:val="3"/>
    <w:lvlOverride w:ilvl="0">
      <w:lvl w:ilvl="0" w:tentative="1">
        <w:numFmt w:val="bullet"/>
        <w:suff w:val="tab"/>
        <w:lvlText w:val="3."/>
        <w:rPr/>
      </w:lvl>
    </w:lvlOverride>
  </w:num>
  <w:num w:numId="5">
    <w:abstractNumId w:val="4"/>
    <w:lvlOverride w:ilvl="0">
      <w:lvl w:ilvl="0" w:tentative="1">
        <w:numFmt w:val="bullet"/>
        <w:suff w:val="tab"/>
        <w:lvlText w:val="4."/>
        <w:rPr/>
      </w:lvl>
    </w:lvlOverride>
  </w:num>
  <w:num w:numId="6">
    <w:abstractNumId w:val="5"/>
    <w:lvlOverride w:ilvl="0">
      <w:lvl w:ilvl="0" w:tentative="1">
        <w:numFmt w:val="bullet"/>
        <w:suff w:val="tab"/>
        <w:lvlText w:val="5."/>
        <w:rPr/>
      </w:lvl>
    </w:lvlOverride>
  </w:num>
  <w:num w:numId="7">
    <w:abstractNumId w:val="6"/>
    <w:lvlOverride w:ilvl="0">
      <w:lvl w:ilvl="0" w:tentative="1">
        <w:numFmt w:val="bullet"/>
        <w:suff w:val="tab"/>
        <w:lvlText w:val="6."/>
        <w:rPr/>
      </w:lvl>
    </w:lvlOverride>
  </w:num>
  <w:num w:numId="8">
    <w:abstractNumId w:val="7"/>
    <w:lvlOverride w:ilvl="0">
      <w:lvl w:ilvl="0" w:tentative="1">
        <w:numFmt w:val="bullet"/>
        <w:suff w:val="tab"/>
        <w:lvlText w:val="7."/>
        <w:rPr/>
      </w:lvl>
    </w:lvlOverride>
  </w:num>
  <w:num w:numId="9">
    <w:abstractNumId w:val="8"/>
    <w:lvlOverride w:ilvl="0">
      <w:lvl w:ilvl="0" w:tentative="1">
        <w:numFmt w:val="bullet"/>
        <w:suff w:val="tab"/>
        <w:lvlText w:val="8."/>
        <w:rPr/>
      </w:lvl>
    </w:lvlOverride>
  </w:num>
  <w:num w:numId="10">
    <w:abstractNumId w:val="9"/>
    <w:lvlOverride w:ilvl="0">
      <w:lvl w:ilvl="0" w:tentative="1">
        <w:numFmt w:val="bullet"/>
        <w:suff w:val="tab"/>
        <w:lvlText w:val="9."/>
        <w:rPr/>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ompat>
    <w:compatSetting w:name="compatibilityMode" w:uri="http://schemas.microsoft.com/office/word" w:val="14"/>
  </w:compat>
  <w:themeFontLang w:val="en-US" w:eastAsia="zh-CN" w:bidi="ar-SA"/>
  <w:clrSchemeMapping w:accent1="accent1" w:accent2="accent2" w:accent3="accent3" w:accent4="accent4" w:accent5="accent5" w:accent6="accent6" w:bg1="light1" w:bg2="light2" w:followedHyperlink="followedHyperlink" w:hyperlink="hyperlink" w:text1="dark1" w:text2="dark2"/>
  <w:footnotePr/>
  <w:endnotePr/>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 w:type="table" w:styleId="TableGrid">
    <w:name w:val="Table Grid"/>
    <w:basedOn w:val="NormalTable"/>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Collins Adu</dc:creator>
  <cp:lastModifiedBy>Collins Adu</cp:lastModifiedBy>
</cp:coreProperties>
</file>