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sz w:val="24"/>
          <w:szCs w:val="24"/>
        </w:rPr>
        <w:t xml:space="preserve">Hi Team,</w:t>
      </w:r>
    </w:p>
    <w:p>
      <w:pPr>
        <w:spacing w:after="200"/>
      </w:pPr>
      <w:r>
        <w:rPr>
          <w:rFonts w:ascii="Arial" w:cs="Arial" w:eastAsia="Arial" w:hAnsi="Arial"/>
          <w:sz w:val="24"/>
          <w:szCs w:val="24"/>
        </w:rPr>
        <w:t xml:space="preserve">I wanted to share a quick update on my priorities for the next phase of our rollout.</w:t>
      </w:r>
    </w:p>
    <w:p>
      <w:pPr>
        <w:spacing w:after="200"/>
      </w:pPr>
      <w:r>
        <w:rPr>
          <w:rFonts w:ascii="Arial" w:cs="Arial" w:eastAsia="Arial" w:hAnsi="Arial"/>
          <w:sz w:val="24"/>
          <w:szCs w:val="24"/>
        </w:rPr>
        <w:t xml:space="preserve">Given the regulatory requirements around operating a P2P transactional engine in the US, I’m making our compliance and licensing framework the primary focus before we go live. This includes finalizing our Stripe Connect architecture, data flows, and alignment with key regulatory requirements — including FinCEN MSB registration, state money transmitter licenses, and potentially escrow licensing depending on how we structure fund flows within the platform.</w:t>
      </w:r>
    </w:p>
    <w:p>
      <w:pPr>
        <w:spacing w:after="200"/>
      </w:pPr>
      <w:r>
        <w:rPr>
          <w:rFonts w:ascii="Arial" w:cs="Arial" w:eastAsia="Arial" w:hAnsi="Arial"/>
          <w:sz w:val="24"/>
          <w:szCs w:val="24"/>
        </w:rPr>
        <w:t xml:space="preserve">Until that foundation is locked in, I’ll be stepping back from active involvement in public-facing marketing initiatives — not because they aren’t important, but because getting the legal and technical structure right first is what makes everything downstream sustainable.</w:t>
      </w:r>
    </w:p>
    <w:p>
      <w:pPr>
        <w:spacing w:after="200"/>
      </w:pPr>
      <w:r>
        <w:rPr>
          <w:rFonts w:ascii="Arial" w:cs="Arial" w:eastAsia="Arial" w:hAnsi="Arial"/>
          <w:sz w:val="24"/>
          <w:szCs w:val="24"/>
        </w:rPr>
        <w:t xml:space="preserve">I expect to have a clearer picture of our compliance timeline by [date/next sync], at which point I’ll be fully back in the mix on go-to-market strategy.</w:t>
      </w:r>
    </w:p>
    <w:p>
      <w:pPr>
        <w:spacing w:after="200"/>
      </w:pPr>
      <w:r>
        <w:rPr>
          <w:rFonts w:ascii="Arial" w:cs="Arial" w:eastAsia="Arial" w:hAnsi="Arial"/>
          <w:sz w:val="24"/>
          <w:szCs w:val="24"/>
        </w:rPr>
        <w:t xml:space="preserve">Happy to discuss further at our next sync.</w:t>
      </w:r>
    </w:p>
    <w:p>
      <w:pPr>
        <w:spacing w:after="120"/>
      </w:pPr>
      <w:r>
        <w:rPr>
          <w:rFonts w:ascii="Arial" w:cs="Arial" w:eastAsia="Arial" w:hAnsi="Arial"/>
          <w:sz w:val="24"/>
          <w:szCs w:val="24"/>
        </w:rPr>
        <w:t xml:space="preserve">Best,</w:t>
      </w:r>
    </w:p>
    <w:p>
      <w:r>
        <w:rPr>
          <w:rFonts w:ascii="Arial" w:cs="Arial" w:eastAsia="Arial" w:hAnsi="Arial"/>
          <w:sz w:val="24"/>
          <w:szCs w:val="24"/>
        </w:rPr>
        <w:t xml:space="preserve">[Your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2026-06-09T23:20:25.509Z</dcterms:created>
  <dcterms:modified xsi:type="dcterms:W3CDTF">2026-06-09T23:20:25.509Z</dcterms:modified>
</cp:coreProperties>
</file>

<file path=docProps/custom.xml><?xml version="1.0" encoding="utf-8"?>
<Properties xmlns="http://schemas.openxmlformats.org/officeDocument/2006/custom-properties" xmlns:vt="http://schemas.openxmlformats.org/officeDocument/2006/docPropsVTypes"/>
</file>