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League Volleyball</w: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Requerimientos del negocio:</w:t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Oportunidad de negocios: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El sistema tendrá como principal objetivo organizar, visualizar y registrar los datos de los equipos interesados. De tal manera que se pueda agilizar y contar con los datos de los equipos y  jugadores lo más accesible posible. </w:t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Funciones principales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Registro de equipos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Ingresar datos personales de las jugadoras.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Visualizar tabla de posiciones.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Ver fixture y resultados.</w:t>
      </w:r>
    </w:p>
    <w:p w:rsidR="00000000" w:rsidDel="00000000" w:rsidP="00000000" w:rsidRDefault="00000000" w:rsidRPr="00000000" w14:paraId="0000000F">
      <w:pPr>
        <w:ind w:left="72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385"/>
        <w:gridCol w:w="1710"/>
        <w:gridCol w:w="1830"/>
        <w:gridCol w:w="2100"/>
        <w:tblGridChange w:id="0">
          <w:tblGrid>
            <w:gridCol w:w="1620"/>
            <w:gridCol w:w="2385"/>
            <w:gridCol w:w="1710"/>
            <w:gridCol w:w="183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Beneficio y valor percibido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 de interés mayor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Director Técnico/Representante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Obtener estadísticas grupales e individuales de su equipo y los rivales.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Motivación a encontrar la información de manera rápida y accesible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una app que tenga todos los datos necesarios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No poder acceder a determinados datos personales de jugadoras de los demás equipos</w:t>
            </w:r>
          </w:p>
        </w:tc>
      </w:tr>
      <w:tr>
        <w:trPr>
          <w:cantSplit w:val="0"/>
          <w:trHeight w:val="162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Árbitros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el fixture e información que necesita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Motivación a encontrar la información de manera rápida y accesible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una app que tenga todos los datos necesarios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Ninguna Identificada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Jugadores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Obtener estadísticas grupales e individuales de su equipo y los rivales.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Motivación a encontrar la información de manera rápida y accesible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una app que tenga todos los datos necesarios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No poder acceder a determinados datos personales de jugadoras de los demás equipos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Dirigente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Conocer el fixture para organizar el club local, o visitante para los viajes y para la venta y compra de jugadores.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Buena recepción, ya que le será de útil para la organización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una app que tenga todos los datos necesarios.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Ninguna Identificada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Planillero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Poder utilizar planilla de juego, cargarla y registrar resultados de los partidos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Buena recepción, usabilidad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Utilización de planilla de juego, y registro de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Ninguna Identificada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Propósito</w:t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Este documento describe los requerimientos del sistema para el proyecto League Volleyball. Este sistema tiene el propósito de llevar un registro de jugadores/as de la disciplina voley, logrando tener  disponibilidad, organización y visualización de los datos de los mismos, innovando en contar con una herramienta más amigable, portátil y ágil para guardar información y datos relevantes. El producto es una aplicación web disponible para el cuerpo técnico y colaboradores de todos las categorías y público en general </w:t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Los equipos podrán acceder al registro de la liga, su determinada tabla de posiciones y fixture. </w:t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Las funciones principales del producto son:</w:t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FE1: Establecer una organización de información</w:t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FE2: Registro de datos personales</w:t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FE3: Registro de datos deportivos</w:t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FE4: Mostrar tabla de posiciones</w:t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FE5: Visualizar equipos anotados.</w:t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FE6: Ver fixture.</w:t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Ambiente operativo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Clases y características de los usuarios:</w:t>
      </w:r>
    </w:p>
    <w:p w:rsidR="00000000" w:rsidDel="00000000" w:rsidP="00000000" w:rsidRDefault="00000000" w:rsidRPr="00000000" w14:paraId="0000005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895"/>
        <w:gridCol w:w="2625"/>
        <w:gridCol w:w="2310"/>
        <w:tblGridChange w:id="0">
          <w:tblGrid>
            <w:gridCol w:w="1995"/>
            <w:gridCol w:w="2895"/>
            <w:gridCol w:w="262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Experiencia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Dirigente del 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es el responsable de inscribir al equipo en la liga, y completar los datos requeridos del club y jugadoras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que oscila entre los 21  a los 50 años es más amigable al uso de la aplicación en dispositivo móvil o computador.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Para los grupos de más de 50 años no cuentan con demasiadas habilidades para utilizarla.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Jugadoras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Podrán acceder a ver las tablas de posiciones y fixture.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 gran mayoría de jugadoras tiene experiencia en dispositivos compatibles con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Director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Podrán acceder a ver las tablas de posiciones y fixture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que oscila entre los 21  a los 50 años es más amigable al uso de la aplicación en dispositivo móvil o computador.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Para los grupos de más de 50 no tengan demasiadas habilidades para utilizarla.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Árbitros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Contar con información relevante para la organización de viajes según localía y horarios.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que oscila entre los 21  a los 50 años es más amigable al uso de la aplicación en dispositivo móvil o computador.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Para los grupos de más de 50 no tengan demasiadas habilidades para utilizarla.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Planillero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Podrá acceder a su cuenta, para poder acceder a la planilla de juego y completar los datos requeridos.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Preferentemente persona con experiencia en el uso de ordenador.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Uso del sistema frecuentemente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Funciones  de Software</w:t>
      </w:r>
    </w:p>
    <w:p w:rsidR="00000000" w:rsidDel="00000000" w:rsidP="00000000" w:rsidRDefault="00000000" w:rsidRPr="00000000" w14:paraId="00000085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Función -Registro.Evaluación:</w:t>
      </w:r>
    </w:p>
    <w:p w:rsidR="00000000" w:rsidDel="00000000" w:rsidP="00000000" w:rsidRDefault="00000000" w:rsidRPr="00000000" w14:paraId="00000087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Descripción y prioridad: </w:t>
      </w:r>
    </w:p>
    <w:p w:rsidR="00000000" w:rsidDel="00000000" w:rsidP="00000000" w:rsidRDefault="00000000" w:rsidRPr="00000000" w14:paraId="00000089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Este caso de uso describe como el Dirigente podrá registrar al equipo a la liga.</w:t>
      </w:r>
    </w:p>
    <w:p w:rsidR="00000000" w:rsidDel="00000000" w:rsidP="00000000" w:rsidRDefault="00000000" w:rsidRPr="00000000" w14:paraId="0000008A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Estímulos / Secuencia de respuesta:</w:t>
      </w:r>
    </w:p>
    <w:p w:rsidR="00000000" w:rsidDel="00000000" w:rsidP="00000000" w:rsidRDefault="00000000" w:rsidRPr="00000000" w14:paraId="0000008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Estímulo: El Dirigente ingresa al menú Registro de club.</w:t>
      </w:r>
    </w:p>
    <w:p w:rsidR="00000000" w:rsidDel="00000000" w:rsidP="00000000" w:rsidRDefault="00000000" w:rsidRPr="00000000" w14:paraId="0000008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Respuesta: se inicia un nuevo proceso de registro.</w:t>
      </w:r>
    </w:p>
    <w:p w:rsidR="00000000" w:rsidDel="00000000" w:rsidP="00000000" w:rsidRDefault="00000000" w:rsidRPr="00000000" w14:paraId="00000090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Estímulo: El dirigente completa los datos requeridos del club.</w:t>
      </w:r>
    </w:p>
    <w:p w:rsidR="00000000" w:rsidDel="00000000" w:rsidP="00000000" w:rsidRDefault="00000000" w:rsidRPr="00000000" w14:paraId="00000092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Respuesta: registro con éxito del club.</w:t>
      </w:r>
    </w:p>
    <w:p w:rsidR="00000000" w:rsidDel="00000000" w:rsidP="00000000" w:rsidRDefault="00000000" w:rsidRPr="00000000" w14:paraId="00000094">
      <w:pPr>
        <w:ind w:left="1440" w:firstLine="72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Funciones:</w:t>
      </w:r>
    </w:p>
    <w:p w:rsidR="00000000" w:rsidDel="00000000" w:rsidP="00000000" w:rsidRDefault="00000000" w:rsidRPr="00000000" w14:paraId="00000096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9.5"/>
        <w:gridCol w:w="4809.5"/>
        <w:tblGridChange w:id="0">
          <w:tblGrid>
            <w:gridCol w:w="4809.5"/>
            <w:gridCol w:w="480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Registro de equipos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 registrar los equipos que lo deseen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Mostrar jugadores, cuerpo técnico que conforman los equipos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 mostrar una lista alfabéticamente  de los equipos y las personas que lo conforman.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Presentar los árbitros que participarán en cada 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 mostrar a los árbitros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Mostrar tabla de posiciones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mostrará una tabla de posiciones de manera ascendente de los equipos.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Mostrar el fixture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 mostrar el fixture.</w:t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 Narrow" w:cs="Arial Narrow" w:eastAsia="Arial Narrow" w:hAnsi="Arial Narrow"/>
          <w:b w:val="1"/>
          <w:sz w:val="28"/>
          <w:szCs w:val="2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Requerimientos no funcionales:</w:t>
      </w:r>
    </w:p>
    <w:p w:rsidR="00000000" w:rsidDel="00000000" w:rsidP="00000000" w:rsidRDefault="00000000" w:rsidRPr="00000000" w14:paraId="000000B5">
      <w:pPr>
        <w:rPr>
          <w:rFonts w:ascii="Arial Narrow" w:cs="Arial Narrow" w:eastAsia="Arial Narrow" w:hAnsi="Arial Narro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  <w:rtl w:val="0"/>
        </w:rPr>
        <w:t xml:space="preserve">Eficiencia</w:t>
      </w:r>
    </w:p>
    <w:p w:rsidR="00000000" w:rsidDel="00000000" w:rsidP="00000000" w:rsidRDefault="00000000" w:rsidRPr="00000000" w14:paraId="000000B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ser capaz de procesar 100 transacciones por segundo. 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Toda funcionalidad del sistema y transacción de negocio debe responder al usuario en menos de 5 segundos.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ser capaz de operar adecuadamente con hasta 500 usuarios con sesiones concurrentes.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Los datos modificados en la base de datos deben ser actualizados para todos los usuarios que acceden en menos de 2 segundos.</w:t>
      </w:r>
    </w:p>
    <w:p w:rsidR="00000000" w:rsidDel="00000000" w:rsidP="00000000" w:rsidRDefault="00000000" w:rsidRPr="00000000" w14:paraId="000000BC">
      <w:pPr>
        <w:shd w:fill="ffffff" w:val="clear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  <w:rtl w:val="0"/>
        </w:rPr>
        <w:t xml:space="preserve">Seguridad lógica y de datos</w:t>
      </w:r>
    </w:p>
    <w:p w:rsidR="00000000" w:rsidDel="00000000" w:rsidP="00000000" w:rsidRDefault="00000000" w:rsidRPr="00000000" w14:paraId="000000B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Los permisos de acceso al sistema podrán ser cambiados solamente por el administrador de acceso a datos.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nuevo sistema debe desarrollarse aplicando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Arial Narrow" w:cs="Arial Narrow" w:eastAsia="Arial Narrow" w:hAnsi="Arial Narrow"/>
            <w:sz w:val="20"/>
            <w:szCs w:val="20"/>
            <w:rtl w:val="0"/>
          </w:rPr>
          <w:t xml:space="preserve">patrones y recomendaciones de programación que incrementen la seguridad de datos</w:t>
        </w:r>
      </w:hyperlink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Todos los sistemas deben respaldarse cada 24 horas. Los respaldos deben ser almacenados en una localidad segura ubicada en un edificio distinto al que reside el sistema.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Todas las comunicaciones externas entre servidores de datos, aplicación y cliente del sistema deben estar encriptadas utilizando el algoritmo RSA.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Si se identifican ataques de seguridad o brecha del sistema, el mismo no continuará operando hasta ser desbloqueado por un administrador de seguridad.</w:t>
      </w:r>
    </w:p>
    <w:p w:rsidR="00000000" w:rsidDel="00000000" w:rsidP="00000000" w:rsidRDefault="00000000" w:rsidRPr="00000000" w14:paraId="000000C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  <w:rtl w:val="0"/>
        </w:rPr>
        <w:t xml:space="preserve">Seguridad industrial</w:t>
      </w:r>
    </w:p>
    <w:p w:rsidR="00000000" w:rsidDel="00000000" w:rsidP="00000000" w:rsidRDefault="00000000" w:rsidRPr="00000000" w14:paraId="000000C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no continuará operando si la temperatura externa es menor a 4 grados Celsius.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no continuará operando en caso de fuego. (Ej. Un ascensor).</w:t>
      </w:r>
    </w:p>
    <w:p w:rsidR="00000000" w:rsidDel="00000000" w:rsidP="00000000" w:rsidRDefault="00000000" w:rsidRPr="00000000" w14:paraId="000000C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8"/>
          <w:szCs w:val="28"/>
          <w:highlight w:val="white"/>
          <w:rtl w:val="0"/>
        </w:rPr>
        <w:t xml:space="preserve">Usabilidad</w:t>
      </w:r>
    </w:p>
    <w:p w:rsidR="00000000" w:rsidDel="00000000" w:rsidP="00000000" w:rsidRDefault="00000000" w:rsidRPr="00000000" w14:paraId="000000C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tiempo de aprendizaje del sistema por un usuario deberá ser menor a 4 horas.</w:t>
      </w:r>
    </w:p>
    <w:p w:rsidR="00000000" w:rsidDel="00000000" w:rsidP="00000000" w:rsidRDefault="00000000" w:rsidRPr="00000000" w14:paraId="000000CD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La tasa de errores cometidos por el usuario deberá ser menor del 1% de las transacciones totales ejecutadas en el sistema.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contar con manuales de usuario estructurados adecuadamente.</w:t>
      </w:r>
    </w:p>
    <w:p w:rsidR="00000000" w:rsidDel="00000000" w:rsidP="00000000" w:rsidRDefault="00000000" w:rsidRPr="00000000" w14:paraId="000000CF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proporcionar mensajes de error que sean informativos y orientados al usuario final.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contar con un módulo de ayuda en línea.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La aplicación web debe poseer un </w:t>
      </w:r>
      <w:hyperlink r:id="rId7">
        <w:r w:rsidDel="00000000" w:rsidR="00000000" w:rsidRPr="00000000">
          <w:rPr>
            <w:rFonts w:ascii="Arial Narrow" w:cs="Arial Narrow" w:eastAsia="Arial Narrow" w:hAnsi="Arial Narrow"/>
            <w:b w:val="1"/>
            <w:color w:val="073763"/>
            <w:sz w:val="20"/>
            <w:szCs w:val="20"/>
            <w:rtl w:val="0"/>
          </w:rPr>
          <w:t xml:space="preserve">diseño “Responsive”</w:t>
        </w:r>
      </w:hyperlink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 a fin de garantizar la adecuada visualización en múltiples computadores personales, dispositivos tablets y teléfonos inteligentes.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335.99999999999994" w:lineRule="auto"/>
        <w:ind w:left="720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  <w:rtl w:val="0"/>
        </w:rPr>
        <w:t xml:space="preserve">El sistema debe poseer interfaces gráficas bien formadas.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6"/>
          <w:szCs w:val="2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6"/>
          <w:szCs w:val="26"/>
          <w:u w:val="single"/>
          <w:rtl w:val="0"/>
        </w:rPr>
        <w:t xml:space="preserve">Casos de usos: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4"/>
          <w:szCs w:val="24"/>
          <w:rtl w:val="0"/>
        </w:rPr>
        <w:t xml:space="preserve">C.U: Alta usuario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75"/>
        <w:gridCol w:w="2404.75"/>
        <w:gridCol w:w="2404.75"/>
        <w:gridCol w:w="2404.75"/>
        <w:tblGridChange w:id="0">
          <w:tblGrid>
            <w:gridCol w:w="2404.75"/>
            <w:gridCol w:w="2404.75"/>
            <w:gridCol w:w="2404.75"/>
            <w:gridCol w:w="2404.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Alta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Colman Micaela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Fecha de creación: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16/07/2032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Fecha de última 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Jugador, DT, Dirigente, Árbitro y Planillera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Este caso de uso describe el proceso por el cual un usuario crea su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selecciona “Registrar”.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Automáticamente a su correo le llega una confirmación de cuenta 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no haya dos usuarios con el mismo nombre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tenga una cuenta de correo electrónico.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registren los datos personales.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actualice la contraseña cada año.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ingresa al sistema.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debe completar los datos personales.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debe ingresar correo y contraseña.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( luego de validar la cuenta por correo electrónico ), debe ingresar con el correo y contraseña.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Excepciones: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CU incluidos: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 menos 100 usuarios a la semana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</w:rPr>
        <w:drawing>
          <wp:inline distB="114300" distT="114300" distL="114300" distR="114300">
            <wp:extent cx="5731200" cy="403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4"/>
          <w:szCs w:val="24"/>
          <w:rtl w:val="0"/>
        </w:rPr>
        <w:t xml:space="preserve">C.U: Registro de equipo</w:t>
      </w:r>
    </w:p>
    <w:tbl>
      <w:tblPr>
        <w:tblStyle w:val="Table6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75"/>
        <w:gridCol w:w="2404.75"/>
        <w:gridCol w:w="2404.75"/>
        <w:gridCol w:w="2404.75"/>
        <w:tblGridChange w:id="0">
          <w:tblGrid>
            <w:gridCol w:w="2404.75"/>
            <w:gridCol w:w="2404.75"/>
            <w:gridCol w:w="2404.75"/>
            <w:gridCol w:w="2404.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Registro de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Colman Micaela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Fecha de creación: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16/07/2032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Fecha de última 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Dirigente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Este caso de uso describe el proceso por el cual el dirigente del club inscribe al equipo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dirigente selecciona “Alta”.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visualiza una planilla.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no haya dos equipos con el mismo nombre.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Que tenga cuenta de usuario.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puedan ingresar más jugadores.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Dirigente ingresa al sistema.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selecciona en el menú “Alta de equipo”.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muestra una planilla para completar con los datos del club.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Finaliza al clickear en “Alta”.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Excepciones: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CU incluidos: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Alta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 menos 50 usuarios a la semana</w:t>
            </w:r>
          </w:p>
        </w:tc>
      </w:tr>
    </w:tbl>
    <w:p w:rsidR="00000000" w:rsidDel="00000000" w:rsidP="00000000" w:rsidRDefault="00000000" w:rsidRPr="00000000" w14:paraId="00000159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</w:rPr>
        <w:drawing>
          <wp:inline distB="114300" distT="114300" distL="114300" distR="114300">
            <wp:extent cx="5731200" cy="303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00" w:line="335.99999999999994" w:lineRule="auto"/>
        <w:rPr>
          <w:rFonts w:ascii="Arial Narrow" w:cs="Arial Narrow" w:eastAsia="Arial Narrow" w:hAnsi="Arial Narrow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4"/>
          <w:szCs w:val="24"/>
          <w:rtl w:val="0"/>
        </w:rPr>
        <w:t xml:space="preserve">C.U: Registro de planilla de juego</w:t>
      </w:r>
    </w:p>
    <w:tbl>
      <w:tblPr>
        <w:tblStyle w:val="Table8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75"/>
        <w:gridCol w:w="2404.75"/>
        <w:gridCol w:w="2404.75"/>
        <w:gridCol w:w="2404.75"/>
        <w:tblGridChange w:id="0">
          <w:tblGrid>
            <w:gridCol w:w="2404.75"/>
            <w:gridCol w:w="2404.75"/>
            <w:gridCol w:w="2404.75"/>
            <w:gridCol w:w="2404.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Registro de planilla de juego.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Colman Micaela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Fecha de creación: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16/07/2032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Fecha de última 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Planillero/a.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Este caso de uso describe el proceso en el cual el/la planillero/a cargando todos los datos de la planilla de juego.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El/la planillera ingresa al menú “Planilla”.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visualiza otra pantalla.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El/la planillera/o debe tener un cuenta usuario.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pueda modificar ante un error de carga.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720"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planillero/a ingresa al menú “Planilla”.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abre otra pantalla con la planilla a completar.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planillero/a completa con los datos de la planilla de juego.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Finaliza guardando toda la carga al clickear en “Guardar”.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deberá confirmar la carga visualizando un recuadro “Carga Exitosa”.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Excepciones: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CU incluidos: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Relacionado al caso de uso alta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 menos 20 usuarios a la semana </w:t>
            </w:r>
          </w:p>
        </w:tc>
      </w:tr>
    </w:tbl>
    <w:p w:rsidR="00000000" w:rsidDel="00000000" w:rsidP="00000000" w:rsidRDefault="00000000" w:rsidRPr="00000000" w14:paraId="000001AB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</w:rPr>
        <w:drawing>
          <wp:inline distB="114300" distT="114300" distL="114300" distR="114300">
            <wp:extent cx="57312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rial Narrow" w:cs="Arial Narrow" w:eastAsia="Arial Narrow" w:hAnsi="Arial Narrow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22222"/>
          <w:sz w:val="24"/>
          <w:szCs w:val="24"/>
          <w:rtl w:val="0"/>
        </w:rPr>
        <w:t xml:space="preserve">C.U: Acceso a Fixture. </w:t>
      </w:r>
    </w:p>
    <w:p w:rsidR="00000000" w:rsidDel="00000000" w:rsidP="00000000" w:rsidRDefault="00000000" w:rsidRPr="00000000" w14:paraId="000001D2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75"/>
        <w:gridCol w:w="2404.75"/>
        <w:gridCol w:w="2404.75"/>
        <w:gridCol w:w="2404.75"/>
        <w:tblGridChange w:id="0">
          <w:tblGrid>
            <w:gridCol w:w="2404.75"/>
            <w:gridCol w:w="2404.75"/>
            <w:gridCol w:w="2404.75"/>
            <w:gridCol w:w="2404.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Acceso a Fixture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Colman Micaela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22222"/>
                <w:sz w:val="20"/>
                <w:szCs w:val="20"/>
                <w:rtl w:val="0"/>
              </w:rPr>
              <w:t xml:space="preserve">Fecha de creación: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16/07/2032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22222"/>
                <w:sz w:val="20"/>
                <w:szCs w:val="20"/>
                <w:rtl w:val="0"/>
              </w:rPr>
              <w:t xml:space="preserve">Fecha de última modificación: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En este caso de uso describe el proceso en el cual el usuario puede visualizar el fixture de juego.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ingresa al menú “Fixture”.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le visualiza un recuadro con el fixture.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 se visualice las veces que lo requiera el usuario.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ingresa al menú “Fixture”.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sistema muestra en un recuadro el fixture.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Flujos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En el caso de ser usuario con cuenta de usuario podrá acceder al fixture, con la diferencia de iniciar sesión 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Excepciones: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En caso de modificaciones no se podrá visualizar. Mostrando un recuadro “Fixture en modificación”.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CU incluidos: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Frecuencia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Al menos 200 usuarios a la semana.</w:t>
            </w:r>
          </w:p>
        </w:tc>
      </w:tr>
    </w:tbl>
    <w:p w:rsidR="00000000" w:rsidDel="00000000" w:rsidP="00000000" w:rsidRDefault="00000000" w:rsidRPr="00000000" w14:paraId="00000206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222222"/>
          <w:sz w:val="20"/>
          <w:szCs w:val="20"/>
        </w:rPr>
        <w:drawing>
          <wp:inline distB="114300" distT="114300" distL="114300" distR="114300">
            <wp:extent cx="5578893" cy="3938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893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 Narrow" w:cs="Arial Narrow" w:eastAsia="Arial Narrow" w:hAnsi="Arial Narro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al Narrow" w:cs="Arial Narrow" w:eastAsia="Arial Narrow" w:hAnsi="Arial Narrow"/>
          <w:b w:val="1"/>
          <w:sz w:val="28"/>
          <w:szCs w:val="2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Diagrama de clases:</w:t>
      </w:r>
    </w:p>
    <w:p w:rsidR="00000000" w:rsidDel="00000000" w:rsidP="00000000" w:rsidRDefault="00000000" w:rsidRPr="00000000" w14:paraId="0000022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6947263" cy="56055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263" cy="5605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pmoinformatica.com/2014/01/consejos-seguridad-informatica.html" TargetMode="External"/><Relationship Id="rId7" Type="http://schemas.openxmlformats.org/officeDocument/2006/relationships/hyperlink" Target="http://www.pmoinformatica.com/2015/04/consejos-diseno-web-movil.html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