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96.png" ContentType="image/png"/>
  <Override PartName="/word/media/rId134.png" ContentType="image/png"/>
  <Override PartName="/word/media/rId25.png" ContentType="image/png"/>
  <Override PartName="/word/media/rId65.png" ContentType="image/png"/>
  <Override PartName="/word/media/rId68.png" ContentType="image/png"/>
  <Override PartName="/word/media/rId72.png" ContentType="image/png"/>
  <Override PartName="/word/media/rId75.png" ContentType="image/png"/>
  <Override PartName="/word/media/rId79.png" ContentType="image/png"/>
  <Override PartName="/word/media/rId82.png" ContentType="image/png"/>
  <Override PartName="/word/media/rId88.png" ContentType="image/png"/>
  <Override PartName="/word/media/rId92.png" ContentType="image/png"/>
  <Override PartName="/word/media/rId29.png" ContentType="image/png"/>
  <Override PartName="/word/media/rId33.png" ContentType="image/png"/>
  <Override PartName="/word/media/rId38.png" ContentType="image/png"/>
  <Override PartName="/word/media/rId45.png" ContentType="image/png"/>
  <Override PartName="/word/media/rId50.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
      </w:pPr>
      <w:r>
        <w:t xml:space="preserve">TECNOLÓGICO NACIONAL DE MÉXICO</w:t>
      </w:r>
    </w:p>
    <w:p>
      <w:pPr>
        <w:pStyle w:val="Portada"/>
      </w:pPr>
      <w:r>
        <w:t xml:space="preserve">INSTITUTO TECNOLÓGICO DE LEÓN</w:t>
      </w:r>
    </w:p>
    <w:p>
      <w:pPr>
        <w:pStyle w:val="PortadaEspacio"/>
      </w:pPr>
    </w:p>
    <w:p>
      <w:pPr>
        <w:pStyle w:val="PortadaTitulo"/>
      </w:pPr>
      <w:r>
        <w:t xml:space="preserve">DISEÑO COMPLETO DEL SISTEMA</w:t>
      </w:r>
    </w:p>
    <w:p>
      <w:pPr>
        <w:pStyle w:val="PortadaSub"/>
      </w:pPr>
      <w:r>
        <w:t xml:space="preserve">Entregable de la fase de Diseño del Sistema</w:t>
      </w:r>
    </w:p>
    <w:p>
      <w:pPr>
        <w:pStyle w:val="PortadaSub"/>
      </w:pPr>
      <w:r>
        <w:t xml:space="preserve">Desarrollo de un Sistema Integral de Gestión de Capacitación y Certificación Digital para CINDEC</w:t>
      </w:r>
    </w:p>
    <w:p>
      <w:pPr>
        <w:pStyle w:val="PortadaEspacio"/>
      </w:pPr>
    </w:p>
    <w:p>
      <w:pPr>
        <w:pStyle w:val="PortadaDato"/>
      </w:pPr>
      <w:r>
        <w:t xml:space="preserve">Alumno: Monjaraz Colmenero Angel Mauricio</w:t>
      </w:r>
    </w:p>
    <w:p>
      <w:pPr>
        <w:pStyle w:val="PortadaDato"/>
      </w:pPr>
      <w:r>
        <w:t xml:space="preserve">Número de control: 20240759</w:t>
      </w:r>
    </w:p>
    <w:p>
      <w:pPr>
        <w:pStyle w:val="PortadaDato"/>
      </w:pPr>
      <w:r>
        <w:t xml:space="preserve">Ingeniería en Sistemas Computacionales</w:t>
      </w:r>
    </w:p>
    <w:p>
      <w:pPr>
        <w:pStyle w:val="PortadaDato"/>
      </w:pPr>
      <w:r>
        <w:t xml:space="preserve">Asesor interno: Mosiño Juan Francisco</w:t>
      </w:r>
    </w:p>
    <w:p>
      <w:pPr>
        <w:pStyle w:val="PortadaDato"/>
      </w:pPr>
      <w:r>
        <w:t xml:space="preserve">Asesor externo: Juan Alexis García Gómez (CINDEC)</w:t>
      </w:r>
    </w:p>
    <w:p>
      <w:pPr>
        <w:pStyle w:val="PortadaEspacio"/>
      </w:pPr>
    </w:p>
    <w:p>
      <w:pPr>
        <w:pStyle w:val="PortadaDato"/>
      </w:pPr>
      <w:r>
        <w:t xml:space="preserve">León, Guanajuato, 21 de octubre de 2026</w:t>
      </w:r>
    </w:p>
    <w:p>
      <w:r>
        <w:br w:type="page"/>
      </w:r>
    </w:p>
    <w:p>
      <w:pPr>
        <w:pStyle w:val="TtuloTDC"/>
      </w:pPr>
      <w:r>
        <w:t>Contenido</w:t>
      </w:r>
    </w:p>
    <w:p>
      <w:r>
        <w:fldChar w:fldCharType="begin" w:dirty="true"/>
      </w:r>
      <w:r>
        <w:instrText xml:space="preserve"> TOC \o "1-2" \h \z \u </w:instrText>
      </w:r>
      <w:r>
        <w:fldChar w:fldCharType="separate"/>
      </w:r>
      <w:r>
        <w:t>Para ver el índice: clic derecho aquí y elija «Actualizar campos».</w:t>
      </w:r>
      <w:r>
        <w:fldChar w:fldCharType="end"/>
      </w:r>
    </w:p>
    <w:bookmarkStart w:id="23" w:name="introducción"/>
    <w:p>
      <w:pPr>
        <w:pStyle w:val="Ttulo1"/>
      </w:pPr>
      <w:r>
        <w:t xml:space="preserve">1. Introducción</w:t>
      </w:r>
    </w:p>
    <w:bookmarkStart w:id="20" w:name="propósito-del-documento"/>
    <w:p>
      <w:pPr>
        <w:pStyle w:val="Ttulo2"/>
      </w:pPr>
      <w:r>
        <w:t xml:space="preserve">Propósito del documento</w:t>
      </w:r>
    </w:p>
    <w:p>
      <w:pPr>
        <w:pStyle w:val="FirstParagraph"/>
      </w:pPr>
      <w:r>
        <w:t xml:space="preserve">Este documento reúne el diseño completo del Sistema Integral de Gestión de Capacitación y Certificación Digital para CINDEC. Es el entregable de la fase</w:t>
      </w:r>
      <w:r>
        <w:t xml:space="preserve"> </w:t>
      </w:r>
      <w:r>
        <w:rPr>
          <w:bCs/>
          <w:b/>
        </w:rPr>
        <w:t xml:space="preserve">Diseño del Sistema</w:t>
      </w:r>
      <w:r>
        <w:t xml:space="preserve"> </w:t>
      </w:r>
      <w:r>
        <w:t xml:space="preserve">del cronograma de la residencia y sirve como base para la fase de Desarrollo: define cómo se organiza el sistema, qué información guarda, cómo se comportan sus componentes y cómo se verán sus pantallas.</w:t>
      </w:r>
    </w:p>
    <w:bookmarkEnd w:id="20"/>
    <w:bookmarkStart w:id="21" w:name="Xace3cefdb73b244fd34cf2658fe15e83d8b1aac"/>
    <w:p>
      <w:pPr>
        <w:pStyle w:val="Ttulo2"/>
      </w:pPr>
      <w:r>
        <w:t xml:space="preserve">Relación con la Especificación de Requisitos</w:t>
      </w:r>
    </w:p>
    <w:p>
      <w:pPr>
        <w:pStyle w:val="FirstParagraph"/>
      </w:pPr>
      <w:r>
        <w:t xml:space="preserve">El diseño parte de la Especificación de Requisitos de Software (ERS v1.1, formato IEEE 830), que define el</w:t>
      </w:r>
      <w:r>
        <w:t xml:space="preserve"> </w:t>
      </w:r>
      <w:r>
        <w:rPr>
          <w:bCs/>
          <w:b/>
        </w:rPr>
        <w:t xml:space="preserve">Alcance V1</w:t>
      </w:r>
      <w:r>
        <w:t xml:space="preserve"> </w:t>
      </w:r>
      <w:r>
        <w:t xml:space="preserve">del sistema: 34 requisitos funcionales en siete módulos (Usuarios; Cursos, grupos y participantes; Aprendizaje; Evaluaciones; Certificaciones; Reportes; Notificaciones), 21 requisitos no funcionales y cinco roles (Administrador general, Coordinador, Instructor, Evaluador y Participante). Lo que excede ese alcance, como una plataforma multiempresa, quedó documentado como</w:t>
      </w:r>
      <w:r>
        <w:t xml:space="preserve"> </w:t>
      </w:r>
      <w:r>
        <w:rPr>
          <w:iCs/>
          <w:i/>
        </w:rPr>
        <w:t xml:space="preserve">Visión futura</w:t>
      </w:r>
      <w:r>
        <w:t xml:space="preserve"> </w:t>
      </w:r>
      <w:r>
        <w:t xml:space="preserve">(ADR-0002) con el acuerdo del asesor externo.</w:t>
      </w:r>
    </w:p>
    <w:bookmarkEnd w:id="21"/>
    <w:bookmarkStart w:id="22" w:name="contenido-y-método-de-trabajo"/>
    <w:p>
      <w:pPr>
        <w:pStyle w:val="Ttulo2"/>
      </w:pPr>
      <w:r>
        <w:t xml:space="preserve">Contenido y método de trabajo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Capítulo</w:t>
            </w:r>
          </w:p>
        </w:tc>
        <w:tc>
          <w:tcPr/>
          <w:p>
            <w:pPr>
              <w:pStyle w:val="Compact"/>
              <w:jc w:val="left"/>
            </w:pPr>
            <w:r>
              <w:t xml:space="preserve">Actividad del cronograma</w:t>
            </w:r>
          </w:p>
        </w:tc>
      </w:tr>
      <w:tr>
        <w:tc>
          <w:tcPr/>
          <w:p>
            <w:pPr>
              <w:pStyle w:val="Compact"/>
              <w:jc w:val="left"/>
            </w:pPr>
            <w:r>
              <w:t xml:space="preserve">2. Arquitectura del sistema</w:t>
            </w:r>
          </w:p>
        </w:tc>
        <w:tc>
          <w:tcPr/>
          <w:p>
            <w:pPr>
              <w:pStyle w:val="Compact"/>
              <w:jc w:val="left"/>
            </w:pPr>
            <w:r>
              <w:t xml:space="preserve">Diseño de la arquitectura del sistema</w:t>
            </w:r>
          </w:p>
        </w:tc>
      </w:tr>
      <w:tr>
        <w:tc>
          <w:tcPr/>
          <w:p>
            <w:pPr>
              <w:pStyle w:val="Compact"/>
              <w:jc w:val="left"/>
            </w:pPr>
            <w:r>
              <w:t xml:space="preserve">3. Modelo entidad-relación</w:t>
            </w:r>
          </w:p>
        </w:tc>
        <w:tc>
          <w:tcPr/>
          <w:p>
            <w:pPr>
              <w:pStyle w:val="Compact"/>
              <w:jc w:val="left"/>
            </w:pPr>
            <w:r>
              <w:t xml:space="preserve">Elaboración del modelo entidad-relación</w:t>
            </w:r>
          </w:p>
        </w:tc>
      </w:tr>
      <w:tr>
        <w:tc>
          <w:tcPr/>
          <w:p>
            <w:pPr>
              <w:pStyle w:val="Compact"/>
              <w:jc w:val="left"/>
            </w:pPr>
            <w:r>
              <w:t xml:space="preserve">4. Diseño de la base de datos</w:t>
            </w:r>
          </w:p>
        </w:tc>
        <w:tc>
          <w:tcPr/>
          <w:p>
            <w:pPr>
              <w:pStyle w:val="Compact"/>
              <w:jc w:val="left"/>
            </w:pPr>
            <w:r>
              <w:t xml:space="preserve">Diseño de la base de datos</w:t>
            </w:r>
          </w:p>
        </w:tc>
      </w:tr>
      <w:tr>
        <w:tc>
          <w:tcPr/>
          <w:p>
            <w:pPr>
              <w:pStyle w:val="Compact"/>
              <w:jc w:val="left"/>
            </w:pPr>
            <w:r>
              <w:t xml:space="preserve">5. Diagramas UML</w:t>
            </w:r>
          </w:p>
        </w:tc>
        <w:tc>
          <w:tcPr/>
          <w:p>
            <w:pPr>
              <w:pStyle w:val="Compact"/>
              <w:jc w:val="left"/>
            </w:pPr>
            <w:r>
              <w:t xml:space="preserve">Elaboración de diagramas UML</w:t>
            </w:r>
          </w:p>
        </w:tc>
      </w:tr>
      <w:tr>
        <w:tc>
          <w:tcPr/>
          <w:p>
            <w:pPr>
              <w:pStyle w:val="Compact"/>
              <w:jc w:val="left"/>
            </w:pPr>
            <w:r>
              <w:t xml:space="preserve">6. Prototipos de interfaz</w:t>
            </w:r>
          </w:p>
        </w:tc>
        <w:tc>
          <w:tcPr/>
          <w:p>
            <w:pPr>
              <w:pStyle w:val="Compact"/>
              <w:jc w:val="left"/>
            </w:pPr>
            <w:r>
              <w:t xml:space="preserve">Diseño de prototipos de interfaces</w:t>
            </w:r>
          </w:p>
        </w:tc>
      </w:tr>
      <w:tr>
        <w:tc>
          <w:tcPr/>
          <w:p>
            <w:pPr>
              <w:pStyle w:val="Compact"/>
              <w:jc w:val="left"/>
            </w:pPr>
            <w:r>
              <w:t xml:space="preserve">7. Trazabilidad</w:t>
            </w:r>
          </w:p>
        </w:tc>
        <w:tc>
          <w:tcPr/>
          <w:p>
            <w:pPr>
              <w:pStyle w:val="Compact"/>
              <w:jc w:val="left"/>
            </w:pPr>
            <w:r>
              <w:t xml:space="preserve">Verificación de que el diseño cubre la ERS</w:t>
            </w:r>
          </w:p>
        </w:tc>
      </w:tr>
    </w:tbl>
    <w:p>
      <w:pPr>
        <w:pStyle w:val="BodyText"/>
      </w:pPr>
      <w:r>
        <w:t xml:space="preserve">Cada parte se elaboró, se revisó y se aprobó por separado entre el 1 y el 21 de octubre de 2026. Las decisiones de arquitectura se registraron como ADR (</w:t>
      </w:r>
      <w:r>
        <w:rPr>
          <w:iCs/>
          <w:i/>
        </w:rPr>
        <w:t xml:space="preserve">Architecture Decision Record</w:t>
      </w:r>
      <w:r>
        <w:t xml:space="preserve">) y todo el material de trabajo se versiona en el repositorio del proyecto (</w:t>
      </w:r>
      <w:r>
        <w:rPr>
          <w:rStyle w:val="VerbatimChar"/>
        </w:rPr>
        <w:t xml:space="preserve">docs/02-diseno/</w:t>
      </w:r>
      <w:r>
        <w:t xml:space="preserve">). La construcción y las pruebas de la base de datos se documentan con capturas en el anexo</w:t>
      </w:r>
      <w:r>
        <w:t xml:space="preserve"> </w:t>
      </w:r>
      <w:r>
        <w:rPr>
          <w:iCs/>
          <w:i/>
        </w:rPr>
        <w:t xml:space="preserve">Evidencia de la construcción de la base de datos cindec_db</w:t>
      </w:r>
      <w:r>
        <w:t xml:space="preserve">.</w:t>
      </w:r>
    </w:p>
    <w:bookmarkEnd w:id="22"/>
    <w:bookmarkEnd w:id="23"/>
    <w:bookmarkStart w:id="37" w:name="arquitectura-del-sistema"/>
    <w:p>
      <w:pPr>
        <w:pStyle w:val="Ttulo1"/>
      </w:pPr>
      <w:r>
        <w:t xml:space="preserve">2. Arquitectura del sistema</w:t>
      </w:r>
    </w:p>
    <w:bookmarkStart w:id="24" w:name="estilo-arquitectónico"/>
    <w:p>
      <w:pPr>
        <w:pStyle w:val="Ttulo2"/>
      </w:pPr>
      <w:r>
        <w:t xml:space="preserve">Estilo arquitectónico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Decisión</w:t>
            </w:r>
          </w:p>
        </w:tc>
        <w:tc>
          <w:tcPr/>
          <w:p>
            <w:pPr>
              <w:pStyle w:val="Compact"/>
              <w:jc w:val="left"/>
            </w:pPr>
            <w:r>
              <w:t xml:space="preserve">Elección</w:t>
            </w:r>
          </w:p>
        </w:tc>
        <w:tc>
          <w:tcPr/>
          <w:p>
            <w:pPr>
              <w:pStyle w:val="Compact"/>
              <w:jc w:val="left"/>
            </w:pPr>
            <w:r>
              <w:t xml:space="preserve">Justificación</w:t>
            </w:r>
          </w:p>
        </w:tc>
      </w:tr>
      <w:tr>
        <w:tc>
          <w:tcPr/>
          <w:p>
            <w:pPr>
              <w:pStyle w:val="Compact"/>
              <w:jc w:val="left"/>
            </w:pPr>
            <w:r>
              <w:t xml:space="preserve">Modelo general</w:t>
            </w:r>
          </w:p>
        </w:tc>
        <w:tc>
          <w:tcPr/>
          <w:p>
            <w:pPr>
              <w:pStyle w:val="Compact"/>
              <w:jc w:val="left"/>
            </w:pPr>
            <w:r>
              <w:t xml:space="preserve">Cliente-servidor en tres capas: presentación, lógica de negocio y datos</w:t>
            </w:r>
          </w:p>
        </w:tc>
        <w:tc>
          <w:tcPr/>
          <w:p>
            <w:pPr>
              <w:pStyle w:val="Compact"/>
              <w:jc w:val="left"/>
            </w:pPr>
            <w:r>
              <w:t xml:space="preserve">Separa interfaz, reglas y datos (RNF-16); es el modelo natural de una aplicación web.</w:t>
            </w:r>
          </w:p>
        </w:tc>
      </w:tr>
      <w:tr>
        <w:tc>
          <w:tcPr/>
          <w:p>
            <w:pPr>
              <w:pStyle w:val="Compact"/>
              <w:jc w:val="left"/>
            </w:pPr>
            <w:r>
              <w:t xml:space="preserve">Frontend</w:t>
            </w:r>
          </w:p>
        </w:tc>
        <w:tc>
          <w:tcPr/>
          <w:p>
            <w:pPr>
              <w:pStyle w:val="Compact"/>
              <w:jc w:val="left"/>
            </w:pPr>
            <w:r>
              <w:t xml:space="preserve">SPA (</w:t>
            </w:r>
            <w:r>
              <w:rPr>
                <w:iCs/>
                <w:i/>
              </w:rPr>
              <w:t xml:space="preserve">Single Page Application</w:t>
            </w:r>
            <w:r>
              <w:t xml:space="preserve">) con React y Vite</w:t>
            </w:r>
          </w:p>
        </w:tc>
        <w:tc>
          <w:tcPr/>
          <w:p>
            <w:pPr>
              <w:pStyle w:val="Compact"/>
              <w:jc w:val="left"/>
            </w:pPr>
            <w:r>
              <w:t xml:space="preserve">Cambia de vista sin recargar la página y consume la API por HTTP/JSON.</w:t>
            </w:r>
          </w:p>
        </w:tc>
      </w:tr>
      <w:tr>
        <w:tc>
          <w:tcPr/>
          <w:p>
            <w:pPr>
              <w:pStyle w:val="Compact"/>
              <w:jc w:val="left"/>
            </w:pPr>
            <w:r>
              <w:t xml:space="preserve">Comunicación</w:t>
            </w:r>
          </w:p>
        </w:tc>
        <w:tc>
          <w:tcPr/>
          <w:p>
            <w:pPr>
              <w:pStyle w:val="Compact"/>
              <w:jc w:val="left"/>
            </w:pPr>
            <w:r>
              <w:t xml:space="preserve">API REST con JSON, versionada en</w:t>
            </w:r>
            <w:r>
              <w:t xml:space="preserve"> </w:t>
            </w:r>
            <w:r>
              <w:rPr>
                <w:rStyle w:val="VerbatimChar"/>
              </w:rPr>
              <w:t xml:space="preserve">/api/v1/</w:t>
            </w:r>
          </w:p>
        </w:tc>
        <w:tc>
          <w:tcPr/>
          <w:p>
            <w:pPr>
              <w:pStyle w:val="Compact"/>
              <w:jc w:val="left"/>
            </w:pPr>
            <w:r>
              <w:t xml:space="preserve">Estándar de la industria e independiente del frontend; puede servir después a otros clientes.</w:t>
            </w:r>
          </w:p>
        </w:tc>
      </w:tr>
      <w:tr>
        <w:tc>
          <w:tcPr/>
          <w:p>
            <w:pPr>
              <w:pStyle w:val="Compact"/>
              <w:jc w:val="left"/>
            </w:pPr>
            <w:r>
              <w:t xml:space="preserve">Backend</w:t>
            </w:r>
          </w:p>
        </w:tc>
        <w:tc>
          <w:tcPr/>
          <w:p>
            <w:pPr>
              <w:pStyle w:val="Compact"/>
              <w:jc w:val="left"/>
            </w:pPr>
            <w:r>
              <w:t xml:space="preserve">Monolito modular: una aplicación Express dividida en módulos por dominio</w:t>
            </w:r>
          </w:p>
        </w:tc>
        <w:tc>
          <w:tcPr/>
          <w:p>
            <w:pPr>
              <w:pStyle w:val="Compact"/>
              <w:jc w:val="left"/>
            </w:pPr>
            <w:r>
              <w:t xml:space="preserve">Un solo desarrollador, entorno local y tiempo acotado; los módulos separados permiten crecer sin reestructurar (RNF-17, RNF-19).</w:t>
            </w:r>
          </w:p>
        </w:tc>
      </w:tr>
    </w:tbl>
    <w:p>
      <w:pPr>
        <w:pStyle w:val="BodyText"/>
      </w:pPr>
      <w:r>
        <w:rPr>
          <w:bCs/>
          <w:b/>
        </w:rPr>
        <w:t xml:space="preserve">Stack tecnológico (ADR-0001):</w:t>
      </w:r>
      <w:r>
        <w:t xml:space="preserve"> </w:t>
      </w:r>
      <w:r>
        <w:t xml:space="preserve">Node.js con Express en el backend; Sequelize como ORM sobre MySQL 8; React con Vite en el frontend; autenticación con JWT y contraseñas cifradas con bcrypt.</w:t>
      </w:r>
    </w:p>
    <w:p>
      <w:pPr>
        <w:pStyle w:val="BodyText"/>
      </w:pPr>
      <w:r>
        <w:rPr>
          <w:bCs/>
          <w:b/>
        </w:rPr>
        <w:t xml:space="preserve">Estilo arquitectónico (ADR-0003):</w:t>
      </w:r>
      <w:r>
        <w:t xml:space="preserve"> </w:t>
      </w:r>
      <w:r>
        <w:t xml:space="preserve">se compararon tres opciones (vistas generadas en el servidor, SPA con API REST en un monolito modular, y microservicios) y se eligió la segunda. Sus consecuencias: un solo proceso que instalar y depurar, separación clara de capas y dominios, y una API lista para otros clientes; como riesgo, todos los módulos comparten proceso y base de datos, lo que se mitiga con un manejo de errores centralizado y pruebas por módulo.</w:t>
      </w:r>
    </w:p>
    <w:bookmarkEnd w:id="24"/>
    <w:bookmarkStart w:id="28" w:name="arquitectura-general"/>
    <w:p>
      <w:pPr>
        <w:pStyle w:val="Ttulo2"/>
      </w:pPr>
      <w:r>
        <w:t xml:space="preserve">Arquitectura general</w:t>
      </w:r>
    </w:p>
    <w:p>
      <w:pPr>
        <w:pStyle w:val="CaptionedFigure"/>
      </w:pPr>
      <w:r>
        <w:drawing>
          <wp:inline>
            <wp:extent cx="5759999" cy="4171199"/>
            <wp:effectExtent b="0" l="0" r="0" t="0"/>
            <wp:docPr descr="Figura 1. Arquitectura general del sistema" title="" id="26" name="Picture"/>
            <a:graphic>
              <a:graphicData uri="http://schemas.openxmlformats.org/drawingml/2006/picture">
                <pic:pic>
                  <pic:nvPicPr>
                    <pic:cNvPr descr="img/fig1-arquitectura-general.png" id="27" name="Picture"/>
                    <pic:cNvPicPr>
                      <a:picLocks noChangeArrowheads="1" noChangeAspect="1"/>
                    </pic:cNvPicPr>
                  </pic:nvPicPr>
                  <pic:blipFill>
                    <a:blip r:embed="rId25"/>
                    <a:stretch>
                      <a:fillRect/>
                    </a:stretch>
                  </pic:blipFill>
                  <pic:spPr bwMode="auto">
                    <a:xfrm>
                      <a:off x="0" y="0"/>
                      <a:ext cx="5759999" cy="4171199"/>
                    </a:xfrm>
                    <a:prstGeom prst="rect">
                      <a:avLst/>
                    </a:prstGeom>
                    <a:noFill/>
                    <a:ln w="9525">
                      <a:noFill/>
                      <a:headEnd/>
                      <a:tailEnd/>
                    </a:ln>
                  </pic:spPr>
                </pic:pic>
              </a:graphicData>
            </a:graphic>
          </wp:inline>
        </w:drawing>
      </w:r>
    </w:p>
    <w:p>
      <w:pPr>
        <w:pStyle w:val="ImageCaption"/>
      </w:pPr>
      <w:r>
        <w:t xml:space="preserve">Figura 1. Arquitectura general del sistema</w:t>
      </w:r>
    </w:p>
    <w:p>
      <w:pPr>
        <w:pStyle w:val="BodyText"/>
      </w:pPr>
      <w:r>
        <w:rPr>
          <w:bCs/>
          <w:b/>
        </w:rPr>
        <w:t xml:space="preserve">Capa de presentación.</w:t>
      </w:r>
      <w:r>
        <w:t xml:space="preserve"> </w:t>
      </w:r>
      <w:r>
        <w:t xml:space="preserve">La aplicación React muestra las pantallas de cada módulo agrupadas por rol; las rutas protegidas solo muestran a cada rol su menú (la seguridad real la aplica el backend); los formularios hacen una primera validación con mensajes claros, y un cliente HTTP central adjunta el token JWT y regresa al inicio de sesión cuando la sesión expira.</w:t>
      </w:r>
    </w:p>
    <w:p>
      <w:pPr>
        <w:pStyle w:val="BodyText"/>
      </w:pPr>
      <w:r>
        <w:rPr>
          <w:bCs/>
          <w:b/>
        </w:rPr>
        <w:t xml:space="preserve">Capa de lógica de negocio.</w:t>
      </w:r>
      <w:r>
        <w:t xml:space="preserve"> </w:t>
      </w:r>
      <w:r>
        <w:t xml:space="preserve">Además de los siete módulos funcionales, el servidor tiene componentes transversales: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Función</w:t>
            </w:r>
          </w:p>
        </w:tc>
        <w:tc>
          <w:tcPr/>
          <w:p>
            <w:pPr>
              <w:pStyle w:val="Compact"/>
              <w:jc w:val="left"/>
            </w:pPr>
            <w:r>
              <w:t xml:space="preserve">Requisito</w:t>
            </w:r>
          </w:p>
        </w:tc>
      </w:tr>
      <w:tr>
        <w:tc>
          <w:tcPr/>
          <w:p>
            <w:pPr>
              <w:pStyle w:val="Compact"/>
              <w:jc w:val="left"/>
            </w:pPr>
            <w:r>
              <w:t xml:space="preserve">Autenticación</w:t>
            </w:r>
          </w:p>
        </w:tc>
        <w:tc>
          <w:tcPr/>
          <w:p>
            <w:pPr>
              <w:pStyle w:val="Compact"/>
              <w:jc w:val="left"/>
            </w:pPr>
            <w:r>
              <w:t xml:space="preserve">Inicio de sesión con correo y contraseña; hash bcrypt; token JWT con expiración configurable</w:t>
            </w:r>
          </w:p>
        </w:tc>
        <w:tc>
          <w:tcPr/>
          <w:p>
            <w:pPr>
              <w:pStyle w:val="Compact"/>
              <w:jc w:val="left"/>
            </w:pPr>
            <w:r>
              <w:t xml:space="preserve">RF-USR-05, RNF-05</w:t>
            </w:r>
          </w:p>
        </w:tc>
      </w:tr>
      <w:tr>
        <w:tc>
          <w:tcPr/>
          <w:p>
            <w:pPr>
              <w:pStyle w:val="Compact"/>
              <w:jc w:val="left"/>
            </w:pPr>
            <w:r>
              <w:t xml:space="preserve">Autorización</w:t>
            </w:r>
          </w:p>
        </w:tc>
        <w:tc>
          <w:tcPr/>
          <w:p>
            <w:pPr>
              <w:pStyle w:val="Compact"/>
              <w:jc w:val="left"/>
            </w:pPr>
            <w:r>
              <w:t xml:space="preserve">Middleware que revisa el rol en cada petición protegida y responde 403 si no tiene permiso</w:t>
            </w:r>
          </w:p>
        </w:tc>
        <w:tc>
          <w:tcPr/>
          <w:p>
            <w:pPr>
              <w:pStyle w:val="Compact"/>
              <w:jc w:val="left"/>
            </w:pPr>
            <w:r>
              <w:t xml:space="preserve">RF-USR-03, RNF-03, RNF-04</w:t>
            </w:r>
          </w:p>
        </w:tc>
      </w:tr>
      <w:tr>
        <w:tc>
          <w:tcPr/>
          <w:p>
            <w:pPr>
              <w:pStyle w:val="Compact"/>
              <w:jc w:val="left"/>
            </w:pPr>
            <w:r>
              <w:t xml:space="preserve">Validación</w:t>
            </w:r>
          </w:p>
        </w:tc>
        <w:tc>
          <w:tcPr/>
          <w:p>
            <w:pPr>
              <w:pStyle w:val="Compact"/>
              <w:jc w:val="left"/>
            </w:pPr>
            <w:r>
              <w:t xml:space="preserve">Segunda validación de los datos en el servidor</w:t>
            </w:r>
          </w:p>
        </w:tc>
        <w:tc>
          <w:tcPr/>
          <w:p>
            <w:pPr>
              <w:pStyle w:val="Compact"/>
              <w:jc w:val="left"/>
            </w:pPr>
            <w:r>
              <w:t xml:space="preserve">RNF-09</w:t>
            </w:r>
          </w:p>
        </w:tc>
      </w:tr>
      <w:tr>
        <w:tc>
          <w:tcPr/>
          <w:p>
            <w:pPr>
              <w:pStyle w:val="Compact"/>
              <w:jc w:val="left"/>
            </w:pPr>
            <w:r>
              <w:t xml:space="preserve">Auditoría</w:t>
            </w:r>
          </w:p>
        </w:tc>
        <w:tc>
          <w:tcPr/>
          <w:p>
            <w:pPr>
              <w:pStyle w:val="Compact"/>
              <w:jc w:val="left"/>
            </w:pPr>
            <w:r>
              <w:t xml:space="preserve">Registra usuario, fecha, acción y registro afectado en operaciones sensibles</w:t>
            </w:r>
          </w:p>
        </w:tc>
        <w:tc>
          <w:tcPr/>
          <w:p>
            <w:pPr>
              <w:pStyle w:val="Compact"/>
              <w:jc w:val="left"/>
            </w:pPr>
            <w:r>
              <w:t xml:space="preserve">RF-USR-04, RNF-07</w:t>
            </w:r>
          </w:p>
        </w:tc>
      </w:tr>
      <w:tr>
        <w:tc>
          <w:tcPr/>
          <w:p>
            <w:pPr>
              <w:pStyle w:val="Compact"/>
              <w:jc w:val="left"/>
            </w:pPr>
            <w:r>
              <w:t xml:space="preserve">Manejo de errores</w:t>
            </w:r>
          </w:p>
        </w:tc>
        <w:tc>
          <w:tcPr/>
          <w:p>
            <w:pPr>
              <w:pStyle w:val="Compact"/>
              <w:jc w:val="left"/>
            </w:pPr>
            <w:r>
              <w:t xml:space="preserve">Convierte cualquier error en una respuesta JSON uniforme con su código HTTP</w:t>
            </w:r>
          </w:p>
        </w:tc>
        <w:tc>
          <w:tcPr/>
          <w:p>
            <w:pPr>
              <w:pStyle w:val="Compact"/>
              <w:jc w:val="left"/>
            </w:pPr>
            <w:r>
              <w:t xml:space="preserve">RNF-12</w:t>
            </w:r>
          </w:p>
        </w:tc>
      </w:tr>
      <w:tr>
        <w:tc>
          <w:tcPr/>
          <w:p>
            <w:pPr>
              <w:pStyle w:val="Compact"/>
              <w:jc w:val="left"/>
            </w:pPr>
            <w:r>
              <w:t xml:space="preserve">Recuperación de contraseña</w:t>
            </w:r>
          </w:p>
        </w:tc>
        <w:tc>
          <w:tcPr/>
          <w:p>
            <w:pPr>
              <w:pStyle w:val="Compact"/>
              <w:jc w:val="left"/>
            </w:pPr>
            <w:r>
              <w:t xml:space="preserve">Token de un solo uso con expiración, enviado por correo</w:t>
            </w:r>
          </w:p>
        </w:tc>
        <w:tc>
          <w:tcPr/>
          <w:p>
            <w:pPr>
              <w:pStyle w:val="Compact"/>
              <w:jc w:val="left"/>
            </w:pPr>
            <w:r>
              <w:t xml:space="preserve">RF-USR-06</w:t>
            </w:r>
          </w:p>
        </w:tc>
      </w:tr>
    </w:tbl>
    <w:p>
      <w:pPr>
        <w:pStyle w:val="BodyText"/>
      </w:pPr>
      <w:r>
        <w:rPr>
          <w:bCs/>
          <w:b/>
        </w:rPr>
        <w:t xml:space="preserve">Capa de datos.</w:t>
      </w:r>
      <w:r>
        <w:t xml:space="preserve"> </w:t>
      </w:r>
      <w:r>
        <w:t xml:space="preserve">MySQL (</w:t>
      </w:r>
      <w:r>
        <w:rPr>
          <w:rStyle w:val="VerbatimChar"/>
        </w:rPr>
        <w:t xml:space="preserve">cindec_db</w:t>
      </w:r>
      <w:r>
        <w:t xml:space="preserve">) guarda la información estructurada; los archivos (materiales, evidencias, documentos y el PDF de CONOCER) se guardan en la carpeta</w:t>
      </w:r>
      <w:r>
        <w:t xml:space="preserve"> </w:t>
      </w:r>
      <w:r>
        <w:rPr>
          <w:rStyle w:val="VerbatimChar"/>
        </w:rPr>
        <w:t xml:space="preserve">uploads/</w:t>
      </w:r>
      <w:r>
        <w:t xml:space="preserve"> </w:t>
      </w:r>
      <w:r>
        <w:t xml:space="preserve">del servidor, fuera de la carpeta pública, y en la base de datos solo se registra su ruta.</w:t>
      </w:r>
      <w:r>
        <w:t xml:space="preserve"> </w:t>
      </w:r>
      <w:r>
        <w:rPr>
          <w:bCs/>
          <w:b/>
        </w:rPr>
        <w:t xml:space="preserve">Servicios externos:</w:t>
      </w:r>
      <w:r>
        <w:t xml:space="preserve"> </w:t>
      </w:r>
      <w:r>
        <w:t xml:space="preserve">el servidor SMTP, solo para notificaciones; con CONOCER no hay integración técnica, solo se registra el seguimiento del trámite.</w:t>
      </w:r>
    </w:p>
    <w:bookmarkEnd w:id="28"/>
    <w:bookmarkStart w:id="32" w:name="arquitectura-interna-del-backend"/>
    <w:p>
      <w:pPr>
        <w:pStyle w:val="Ttulo2"/>
      </w:pPr>
      <w:r>
        <w:t xml:space="preserve">Arquitectura interna del backend</w:t>
      </w:r>
    </w:p>
    <w:p>
      <w:pPr>
        <w:pStyle w:val="CaptionedFigure"/>
      </w:pPr>
      <w:r>
        <w:drawing>
          <wp:inline>
            <wp:extent cx="5399999" cy="3289499"/>
            <wp:effectExtent b="0" l="0" r="0" t="0"/>
            <wp:docPr descr="Figura 2. Capas internas del backend" title="" id="30" name="Picture"/>
            <a:graphic>
              <a:graphicData uri="http://schemas.openxmlformats.org/drawingml/2006/picture">
                <pic:pic>
                  <pic:nvPicPr>
                    <pic:cNvPr descr="img/fig2-capas-backend.png" id="31" name="Picture"/>
                    <pic:cNvPicPr>
                      <a:picLocks noChangeArrowheads="1" noChangeAspect="1"/>
                    </pic:cNvPicPr>
                  </pic:nvPicPr>
                  <pic:blipFill>
                    <a:blip r:embed="rId29"/>
                    <a:stretch>
                      <a:fillRect/>
                    </a:stretch>
                  </pic:blipFill>
                  <pic:spPr bwMode="auto">
                    <a:xfrm>
                      <a:off x="0" y="0"/>
                      <a:ext cx="5399999" cy="3289499"/>
                    </a:xfrm>
                    <a:prstGeom prst="rect">
                      <a:avLst/>
                    </a:prstGeom>
                    <a:noFill/>
                    <a:ln w="9525">
                      <a:noFill/>
                      <a:headEnd/>
                      <a:tailEnd/>
                    </a:ln>
                  </pic:spPr>
                </pic:pic>
              </a:graphicData>
            </a:graphic>
          </wp:inline>
        </w:drawing>
      </w:r>
    </w:p>
    <w:p>
      <w:pPr>
        <w:pStyle w:val="ImageCaption"/>
      </w:pPr>
      <w:r>
        <w:t xml:space="preserve">Figura 2. Capas internas del backend</w:t>
      </w:r>
    </w:p>
    <w:p>
      <w:pPr>
        <w:pStyle w:val="BodyText"/>
      </w:pPr>
      <w:r>
        <w:t xml:space="preserve">Cada petición recorre siempre</w:t>
      </w:r>
      <w:r>
        <w:t xml:space="preserve"> </w:t>
      </w:r>
      <w:r>
        <w:rPr>
          <w:bCs/>
          <w:b/>
        </w:rPr>
        <w:t xml:space="preserve">rutas → middlewares → controlador → servicio → modelo → MySQL</w:t>
      </w:r>
      <w:r>
        <w:t xml:space="preserve">. Regla verificable (RNF-16): los controladores no acceden a la base de datos; toda operación de datos pasa por un servicio, y un módulo usa a otro solo a través de su servicio. El código se organiza en una carpeta por módulo (</w:t>
      </w:r>
      <w:r>
        <w:rPr>
          <w:rStyle w:val="VerbatimChar"/>
        </w:rPr>
        <w:t xml:space="preserve">src/modules/usuarios</w:t>
      </w:r>
      <w:r>
        <w:t xml:space="preserve">,</w:t>
      </w:r>
      <w:r>
        <w:t xml:space="preserve"> </w:t>
      </w:r>
      <w:r>
        <w:rPr>
          <w:rStyle w:val="VerbatimChar"/>
        </w:rPr>
        <w:t xml:space="preserve">cursos</w:t>
      </w:r>
      <w:r>
        <w:t xml:space="preserve">,</w:t>
      </w:r>
      <w:r>
        <w:t xml:space="preserve"> </w:t>
      </w:r>
      <w:r>
        <w:rPr>
          <w:rStyle w:val="VerbatimChar"/>
        </w:rPr>
        <w:t xml:space="preserve">aprendizaje</w:t>
      </w:r>
      <w:r>
        <w:t xml:space="preserve">,</w:t>
      </w:r>
      <w:r>
        <w:t xml:space="preserve"> </w:t>
      </w:r>
      <w:r>
        <w:rPr>
          <w:rStyle w:val="VerbatimChar"/>
        </w:rPr>
        <w:t xml:space="preserve">evaluaciones</w:t>
      </w:r>
      <w:r>
        <w:t xml:space="preserve">,</w:t>
      </w:r>
      <w:r>
        <w:t xml:space="preserve"> </w:t>
      </w:r>
      <w:r>
        <w:rPr>
          <w:rStyle w:val="VerbatimChar"/>
        </w:rPr>
        <w:t xml:space="preserve">certificaciones</w:t>
      </w:r>
      <w:r>
        <w:t xml:space="preserve">,</w:t>
      </w:r>
      <w:r>
        <w:t xml:space="preserve"> </w:t>
      </w:r>
      <w:r>
        <w:rPr>
          <w:rStyle w:val="VerbatimChar"/>
        </w:rPr>
        <w:t xml:space="preserve">reportes</w:t>
      </w:r>
      <w:r>
        <w:t xml:space="preserve">,</w:t>
      </w:r>
      <w:r>
        <w:t xml:space="preserve"> </w:t>
      </w:r>
      <w:r>
        <w:rPr>
          <w:rStyle w:val="VerbatimChar"/>
        </w:rPr>
        <w:t xml:space="preserve">notificaciones</w:t>
      </w:r>
      <w:r>
        <w:t xml:space="preserve">), cada una con sus rutas, controlador, servicio y validadores.</w:t>
      </w:r>
    </w:p>
    <w:p>
      <w:pPr>
        <w:pStyle w:val="BodyText"/>
      </w:pPr>
      <w:r>
        <w:rPr>
          <w:bCs/>
          <w:b/>
        </w:rPr>
        <w:t xml:space="preserve">Convenciones de la API:</w:t>
      </w:r>
      <w:r>
        <w:t xml:space="preserve"> </w:t>
      </w:r>
      <w:r>
        <w:t xml:space="preserve">recursos en plural (</w:t>
      </w:r>
      <w:r>
        <w:rPr>
          <w:rStyle w:val="VerbatimChar"/>
        </w:rPr>
        <w:t xml:space="preserve">/grupos</w:t>
      </w:r>
      <w:r>
        <w:t xml:space="preserve">,</w:t>
      </w:r>
      <w:r>
        <w:t xml:space="preserve"> </w:t>
      </w:r>
      <w:r>
        <w:rPr>
          <w:rStyle w:val="VerbatimChar"/>
        </w:rPr>
        <w:t xml:space="preserve">/tramites</w:t>
      </w:r>
      <w:r>
        <w:t xml:space="preserve">), métodos GET/POST/PUT/PATCH/DELETE, JSON en peticiones y respuestas, archivos con</w:t>
      </w:r>
      <w:r>
        <w:t xml:space="preserve"> </w:t>
      </w:r>
      <w:r>
        <w:rPr>
          <w:rStyle w:val="VerbatimChar"/>
        </w:rPr>
        <w:t xml:space="preserve">multipart/form-data</w:t>
      </w:r>
      <w:r>
        <w:t xml:space="preserve">, encabezado</w:t>
      </w:r>
      <w:r>
        <w:t xml:space="preserve"> </w:t>
      </w:r>
      <w:r>
        <w:rPr>
          <w:rStyle w:val="VerbatimChar"/>
        </w:rPr>
        <w:t xml:space="preserve">Authorization: Bearer &lt;token&gt;</w:t>
      </w:r>
      <w:r>
        <w:t xml:space="preserve"> </w:t>
      </w:r>
      <w:r>
        <w:t xml:space="preserve">y errores uniformes. Códigos usados: 200, 201, 400, 401, 403, 404, 409 (conflicto de regla de negocio, por ejemplo grupo sin cupo) y 500.</w:t>
      </w:r>
    </w:p>
    <w:bookmarkEnd w:id="32"/>
    <w:bookmarkStart w:id="36" w:name="despliegue-en-entorno-local"/>
    <w:p>
      <w:pPr>
        <w:pStyle w:val="Ttulo2"/>
      </w:pPr>
      <w:r>
        <w:t xml:space="preserve">Despliegue en entorno local</w:t>
      </w:r>
    </w:p>
    <w:p>
      <w:pPr>
        <w:pStyle w:val="CaptionedFigure"/>
      </w:pPr>
      <w:r>
        <w:drawing>
          <wp:inline>
            <wp:extent cx="5399999" cy="2659499"/>
            <wp:effectExtent b="0" l="0" r="0" t="0"/>
            <wp:docPr descr="Figura 3. Diagrama de despliegue local" title="" id="34" name="Picture"/>
            <a:graphic>
              <a:graphicData uri="http://schemas.openxmlformats.org/drawingml/2006/picture">
                <pic:pic>
                  <pic:nvPicPr>
                    <pic:cNvPr descr="img/fig3-despliegue-local.png" id="35" name="Picture"/>
                    <pic:cNvPicPr>
                      <a:picLocks noChangeArrowheads="1" noChangeAspect="1"/>
                    </pic:cNvPicPr>
                  </pic:nvPicPr>
                  <pic:blipFill>
                    <a:blip r:embed="rId33"/>
                    <a:stretch>
                      <a:fillRect/>
                    </a:stretch>
                  </pic:blipFill>
                  <pic:spPr bwMode="auto">
                    <a:xfrm>
                      <a:off x="0" y="0"/>
                      <a:ext cx="5399999" cy="2659499"/>
                    </a:xfrm>
                    <a:prstGeom prst="rect">
                      <a:avLst/>
                    </a:prstGeom>
                    <a:noFill/>
                    <a:ln w="9525">
                      <a:noFill/>
                      <a:headEnd/>
                      <a:tailEnd/>
                    </a:ln>
                  </pic:spPr>
                </pic:pic>
              </a:graphicData>
            </a:graphic>
          </wp:inline>
        </w:drawing>
      </w:r>
    </w:p>
    <w:p>
      <w:pPr>
        <w:pStyle w:val="ImageCaption"/>
      </w:pPr>
      <w:r>
        <w:t xml:space="preserve">Figura 3. Diagrama de despliegue local</w:t>
      </w:r>
    </w:p>
    <w:p>
      <w:pPr>
        <w:pStyle w:val="BodyText"/>
      </w:pPr>
      <w:r>
        <w:t xml:space="preserve">En desarrollo, React corre en el servidor de Vite (puerto 5173) y la API en el puerto 4000. Para la implementación en CINDEC se compila React y Express sirve esos archivos junto con la API, de modo que el sistema queda en un solo proceso y una sola dirección en la red local. MySQL 8.0 solo acepta conexiones del propio servidor, y las credenciales, el secreto JWT y los datos SMTP viven en el archivo</w:t>
      </w:r>
      <w:r>
        <w:t xml:space="preserve"> </w:t>
      </w:r>
      <w:r>
        <w:rPr>
          <w:rStyle w:val="VerbatimChar"/>
        </w:rPr>
        <w:t xml:space="preserve">.env</w:t>
      </w:r>
      <w:r>
        <w:t xml:space="preserve">, que no se sube al repositorio.</w:t>
      </w:r>
    </w:p>
    <w:bookmarkEnd w:id="36"/>
    <w:bookmarkEnd w:id="37"/>
    <w:bookmarkStart w:id="44" w:name="modelo-entidad-relación"/>
    <w:p>
      <w:pPr>
        <w:pStyle w:val="Ttulo1"/>
      </w:pPr>
      <w:r>
        <w:t xml:space="preserve">3. Modelo entidad-relación</w:t>
      </w:r>
    </w:p>
    <w:bookmarkStart w:id="41" w:name="propósito-y-notación"/>
    <w:p>
      <w:pPr>
        <w:pStyle w:val="Ttulo2"/>
      </w:pPr>
      <w:r>
        <w:t xml:space="preserve">Propósito y notación</w:t>
      </w:r>
    </w:p>
    <w:p>
      <w:pPr>
        <w:pStyle w:val="FirstParagraph"/>
      </w:pPr>
      <w:r>
        <w:t xml:space="preserve">El modelo conceptual identifica qué información guarda el sistema (entidades), qué datos tiene cada una (atributos) y cómo se relacionan (cardinalidad). Se usa la notación pata de gallo (</w:t>
      </w:r>
      <w:r>
        <w:rPr>
          <w:iCs/>
          <w:i/>
        </w:rPr>
        <w:t xml:space="preserve">crow’s foot</w:t>
      </w:r>
      <w:r>
        <w:t xml:space="preserve">). Los tipos de dato y las llaves foráneas se definen en el capítulo 4.</w:t>
      </w:r>
    </w:p>
    <w:p>
      <w:pPr>
        <w:pStyle w:val="CaptionedFigure"/>
      </w:pPr>
      <w:r>
        <w:drawing>
          <wp:inline>
            <wp:extent cx="5939999" cy="2742666"/>
            <wp:effectExtent b="0" l="0" r="0" t="0"/>
            <wp:docPr descr="Figura 4. Modelo entidad-relación" title="" id="39" name="Picture"/>
            <a:graphic>
              <a:graphicData uri="http://schemas.openxmlformats.org/drawingml/2006/picture">
                <pic:pic>
                  <pic:nvPicPr>
                    <pic:cNvPr descr="img/fig4-modelo-entidad-relacion.png" id="40" name="Picture"/>
                    <pic:cNvPicPr>
                      <a:picLocks noChangeArrowheads="1" noChangeAspect="1"/>
                    </pic:cNvPicPr>
                  </pic:nvPicPr>
                  <pic:blipFill>
                    <a:blip r:embed="rId38"/>
                    <a:stretch>
                      <a:fillRect/>
                    </a:stretch>
                  </pic:blipFill>
                  <pic:spPr bwMode="auto">
                    <a:xfrm>
                      <a:off x="0" y="0"/>
                      <a:ext cx="5939999" cy="2742666"/>
                    </a:xfrm>
                    <a:prstGeom prst="rect">
                      <a:avLst/>
                    </a:prstGeom>
                    <a:noFill/>
                    <a:ln w="9525">
                      <a:noFill/>
                      <a:headEnd/>
                      <a:tailEnd/>
                    </a:ln>
                  </pic:spPr>
                </pic:pic>
              </a:graphicData>
            </a:graphic>
          </wp:inline>
        </w:drawing>
      </w:r>
    </w:p>
    <w:p>
      <w:pPr>
        <w:pStyle w:val="ImageCaption"/>
      </w:pPr>
      <w:r>
        <w:t xml:space="preserve">Figura 4. Modelo entidad-relación</w:t>
      </w:r>
    </w:p>
    <w:bookmarkEnd w:id="41"/>
    <w:bookmarkStart w:id="42" w:name="entidades-por-módulo"/>
    <w:p>
      <w:pPr>
        <w:pStyle w:val="Ttulo2"/>
      </w:pPr>
      <w:r>
        <w:t xml:space="preserve">Entidades por módulo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Módulo</w:t>
            </w:r>
          </w:p>
        </w:tc>
        <w:tc>
          <w:tcPr/>
          <w:p>
            <w:pPr>
              <w:pStyle w:val="Compact"/>
              <w:jc w:val="left"/>
            </w:pPr>
            <w:r>
              <w:t xml:space="preserve">Entidades</w:t>
            </w:r>
          </w:p>
        </w:tc>
      </w:tr>
      <w:tr>
        <w:tc>
          <w:tcPr/>
          <w:p>
            <w:pPr>
              <w:pStyle w:val="Compact"/>
              <w:jc w:val="left"/>
            </w:pPr>
            <w:r>
              <w:t xml:space="preserve">Usuarios</w:t>
            </w:r>
          </w:p>
        </w:tc>
        <w:tc>
          <w:tcPr/>
          <w:p>
            <w:pPr>
              <w:pStyle w:val="Compact"/>
              <w:jc w:val="left"/>
            </w:pPr>
            <w:r>
              <w:t xml:space="preserve">ROL, USUARIO, TOKEN_RECUPERACION, AUDITORIA</w:t>
            </w:r>
          </w:p>
        </w:tc>
      </w:tr>
      <w:tr>
        <w:tc>
          <w:tcPr/>
          <w:p>
            <w:pPr>
              <w:pStyle w:val="Compact"/>
              <w:jc w:val="left"/>
            </w:pPr>
            <w:r>
              <w:t xml:space="preserve">Cursos, grupos y participantes</w:t>
            </w:r>
          </w:p>
        </w:tc>
        <w:tc>
          <w:tcPr/>
          <w:p>
            <w:pPr>
              <w:pStyle w:val="Compact"/>
              <w:jc w:val="left"/>
            </w:pPr>
            <w:r>
              <w:t xml:space="preserve">ESTANDAR_COMPETENCIA, CURSO, GRUPO, SESION, PARTICIPANTE, DOCUMENTO_PARTICIPANTE, INSCRIPCION, ASISTENCIA</w:t>
            </w:r>
          </w:p>
        </w:tc>
      </w:tr>
      <w:tr>
        <w:tc>
          <w:tcPr/>
          <w:p>
            <w:pPr>
              <w:pStyle w:val="Compact"/>
              <w:jc w:val="left"/>
            </w:pPr>
            <w:r>
              <w:t xml:space="preserve">Aprendizaje</w:t>
            </w:r>
          </w:p>
        </w:tc>
        <w:tc>
          <w:tcPr/>
          <w:p>
            <w:pPr>
              <w:pStyle w:val="Compact"/>
              <w:jc w:val="left"/>
            </w:pPr>
            <w:r>
              <w:t xml:space="preserve">MATERIAL, CONSULTA_MATERIAL</w:t>
            </w:r>
          </w:p>
        </w:tc>
      </w:tr>
      <w:tr>
        <w:tc>
          <w:tcPr/>
          <w:p>
            <w:pPr>
              <w:pStyle w:val="Compact"/>
              <w:jc w:val="left"/>
            </w:pPr>
            <w:r>
              <w:t xml:space="preserve">Evaluaciones</w:t>
            </w:r>
          </w:p>
        </w:tc>
        <w:tc>
          <w:tcPr/>
          <w:p>
            <w:pPr>
              <w:pStyle w:val="Compact"/>
              <w:jc w:val="left"/>
            </w:pPr>
            <w:r>
              <w:t xml:space="preserve">EVALUACION, INTENTO_EVALUACION, EVIDENCIA</w:t>
            </w:r>
          </w:p>
        </w:tc>
      </w:tr>
      <w:tr>
        <w:tc>
          <w:tcPr/>
          <w:p>
            <w:pPr>
              <w:pStyle w:val="Compact"/>
              <w:jc w:val="left"/>
            </w:pPr>
            <w:r>
              <w:t xml:space="preserve">Certificaciones</w:t>
            </w:r>
          </w:p>
        </w:tc>
        <w:tc>
          <w:tcPr/>
          <w:p>
            <w:pPr>
              <w:pStyle w:val="Compact"/>
              <w:jc w:val="left"/>
            </w:pPr>
            <w:r>
              <w:t xml:space="preserve">TRAMITE_CERTIFICACION, HISTORIAL_TRAMITE, DOCUMENTO_CERTIFICACION</w:t>
            </w:r>
          </w:p>
        </w:tc>
      </w:tr>
    </w:tbl>
    <w:p>
      <w:pPr>
        <w:pStyle w:val="BodyText"/>
      </w:pPr>
      <w:r>
        <w:t xml:space="preserve">En total son</w:t>
      </w:r>
      <w:r>
        <w:t xml:space="preserve"> </w:t>
      </w:r>
      <w:r>
        <w:rPr>
          <w:bCs/>
          <w:b/>
        </w:rPr>
        <w:t xml:space="preserve">20 entidades</w:t>
      </w:r>
      <w:r>
        <w:t xml:space="preserve">. Las relaciones muchos-a-muchos se resuelven con entidades asociativas: INSCRIPCION (participante ↔ grupo), ASISTENCIA (inscripción ↔ sesión) y CONSULTA_MATERIAL (participante ↔ material).</w:t>
      </w:r>
    </w:p>
    <w:bookmarkEnd w:id="42"/>
    <w:bookmarkStart w:id="43" w:name="decisiones-de-modelado"/>
    <w:p>
      <w:pPr>
        <w:pStyle w:val="Ttulo2"/>
      </w:pPr>
      <w:r>
        <w:t xml:space="preserve">Decisiones de modelado</w:t>
      </w:r>
    </w:p>
    <w:p>
      <w:pPr>
        <w:numPr>
          <w:ilvl w:val="0"/>
          <w:numId w:val="1001"/>
        </w:numPr>
        <w:pStyle w:val="Compact"/>
      </w:pPr>
      <w:r>
        <w:rPr>
          <w:bCs/>
          <w:b/>
        </w:rPr>
        <w:t xml:space="preserve">Curso y grupo son distintos.</w:t>
      </w:r>
      <w:r>
        <w:t xml:space="preserve"> </w:t>
      </w:r>
      <w:r>
        <w:t xml:space="preserve">El curso es la plantilla (qué se enseña); el grupo es la oferta concreta con fechas, cupo, modalidad, instructor y evaluador. El cupo disponible no se guarda: se calcula como cupo menos inscripciones activas.</w:t>
      </w:r>
    </w:p>
    <w:p>
      <w:pPr>
        <w:numPr>
          <w:ilvl w:val="0"/>
          <w:numId w:val="1001"/>
        </w:numPr>
        <w:pStyle w:val="Compact"/>
      </w:pPr>
      <w:r>
        <w:rPr>
          <w:bCs/>
          <w:b/>
        </w:rPr>
        <w:t xml:space="preserve">Los cuatro estados de RF-EVA-03 viven en lugares distintos:</w:t>
      </w:r>
      <w:r>
        <w:t xml:space="preserve"> </w:t>
      </w:r>
      <w:r>
        <w:t xml:space="preserve">capacitación concluida en</w:t>
      </w:r>
      <w:r>
        <w:t xml:space="preserve"> </w:t>
      </w:r>
      <w:r>
        <w:rPr>
          <w:rStyle w:val="VerbatimChar"/>
        </w:rPr>
        <w:t xml:space="preserve">INSCRIPCION.estatus</w:t>
      </w:r>
      <w:r>
        <w:t xml:space="preserve">; evaluación aprobada o no aprobada en</w:t>
      </w:r>
      <w:r>
        <w:t xml:space="preserve"> </w:t>
      </w:r>
      <w:r>
        <w:rPr>
          <w:rStyle w:val="VerbatimChar"/>
        </w:rPr>
        <w:t xml:space="preserve">INTENTO_EVALUACION.estatus</w:t>
      </w:r>
      <w:r>
        <w:t xml:space="preserve">; competente o todavía no competente en</w:t>
      </w:r>
      <w:r>
        <w:t xml:space="preserve"> </w:t>
      </w:r>
      <w:r>
        <w:rPr>
          <w:rStyle w:val="VerbatimChar"/>
        </w:rPr>
        <w:t xml:space="preserve">INTENTO_EVALUACION.dictamen</w:t>
      </w:r>
      <w:r>
        <w:t xml:space="preserve"> </w:t>
      </w:r>
      <w:r>
        <w:t xml:space="preserve">(término oficial de CONOCER); certificación emitida en</w:t>
      </w:r>
      <w:r>
        <w:t xml:space="preserve"> </w:t>
      </w:r>
      <w:r>
        <w:rPr>
          <w:rStyle w:val="VerbatimChar"/>
        </w:rPr>
        <w:t xml:space="preserve">TRAMITE_CERTIFICACION.estatus</w:t>
      </w:r>
      <w:r>
        <w:t xml:space="preserve">.</w:t>
      </w:r>
    </w:p>
    <w:p>
      <w:pPr>
        <w:numPr>
          <w:ilvl w:val="0"/>
          <w:numId w:val="1001"/>
        </w:numPr>
        <w:pStyle w:val="Compact"/>
      </w:pPr>
      <w:r>
        <w:rPr>
          <w:bCs/>
          <w:b/>
        </w:rPr>
        <w:t xml:space="preserve">El instrumento de evaluación pertenece al estándar de competencia</w:t>
      </w:r>
      <w:r>
        <w:t xml:space="preserve">, porque CONOCER evalúa por estándar y la calificación mínima depende de cada estándar.</w:t>
      </w:r>
    </w:p>
    <w:p>
      <w:pPr>
        <w:numPr>
          <w:ilvl w:val="0"/>
          <w:numId w:val="1001"/>
        </w:numPr>
        <w:pStyle w:val="Compact"/>
      </w:pPr>
      <w:r>
        <w:rPr>
          <w:bCs/>
          <w:b/>
        </w:rPr>
        <w:t xml:space="preserve">Reintentos y refuerzo:</w:t>
      </w:r>
      <w:r>
        <w:t xml:space="preserve"> </w:t>
      </w:r>
      <w:r>
        <w:t xml:space="preserve">cada intento es un registro nuevo con su número, por lo que el historial se conserva; un recurso de refuerzo es una nueva inscripción marcada como refuerzo.</w:t>
      </w:r>
    </w:p>
    <w:p>
      <w:pPr>
        <w:numPr>
          <w:ilvl w:val="0"/>
          <w:numId w:val="1001"/>
        </w:numPr>
        <w:pStyle w:val="Compact"/>
      </w:pPr>
      <w:r>
        <w:rPr>
          <w:bCs/>
          <w:b/>
        </w:rPr>
        <w:t xml:space="preserve">Instructor y evaluador son usuarios con ese rol</w:t>
      </w:r>
      <w:r>
        <w:t xml:space="preserve">, no entidades aparte.</w:t>
      </w:r>
    </w:p>
    <w:p>
      <w:pPr>
        <w:numPr>
          <w:ilvl w:val="0"/>
          <w:numId w:val="1001"/>
        </w:numPr>
        <w:pStyle w:val="Compact"/>
      </w:pPr>
      <w:r>
        <w:rPr>
          <w:bCs/>
          <w:b/>
        </w:rPr>
        <w:t xml:space="preserve">Los datos del certificado no se duplican:</w:t>
      </w:r>
      <w:r>
        <w:t xml:space="preserve"> </w:t>
      </w:r>
      <w:r>
        <w:t xml:space="preserve">el nombre del participante y el estándar se obtienen por las relaciones; solo se guardan los datos propios del documento (folio CONOCER, tipo, emisión, vigencia, entidad).</w:t>
      </w:r>
    </w:p>
    <w:p>
      <w:pPr>
        <w:numPr>
          <w:ilvl w:val="0"/>
          <w:numId w:val="1001"/>
        </w:numPr>
        <w:pStyle w:val="Compact"/>
      </w:pPr>
      <w:r>
        <w:rPr>
          <w:bCs/>
          <w:b/>
        </w:rPr>
        <w:t xml:space="preserve">Sin multiempresa en V1:</w:t>
      </w:r>
      <w:r>
        <w:t xml:space="preserve"> </w:t>
      </w:r>
      <w:r>
        <w:rPr>
          <w:rStyle w:val="VerbatimChar"/>
        </w:rPr>
        <w:t xml:space="preserve">empresa_procedencia</w:t>
      </w:r>
      <w:r>
        <w:t xml:space="preserve"> </w:t>
      </w:r>
      <w:r>
        <w:t xml:space="preserve">es un dato opcional del participante.</w:t>
      </w:r>
    </w:p>
    <w:p>
      <w:pPr>
        <w:pStyle w:val="FirstParagraph"/>
      </w:pPr>
      <w:r>
        <w:t xml:space="preserve">Los puntos que quedaron por confirmar se resolvieron con el</w:t>
      </w:r>
      <w:r>
        <w:t xml:space="preserve"> </w:t>
      </w:r>
      <w:r>
        <w:rPr>
          <w:iCs/>
          <w:i/>
        </w:rPr>
        <w:t xml:space="preserve">Manual del participante — Red de prestadores de servicios</w:t>
      </w:r>
      <w:r>
        <w:t xml:space="preserve"> </w:t>
      </w:r>
      <w:r>
        <w:t xml:space="preserve">de CONOCER, entregado por CINDEC: la CURP es única por participante, la empresa de procedencia es opcional, el catálogo de documentos del participante (identificación oficial, fotografía, ficha de registro firmada e identificación del tutor si es menor de edad), los tipos de instrumento (guía de observación, lista de cotejo y cuestionario) y el término del dictamen (</w:t>
      </w:r>
      <w:r>
        <w:t xml:space="preserve">“</w:t>
      </w:r>
      <w:r>
        <w:t xml:space="preserve">Todavía no competente</w:t>
      </w:r>
      <w:r>
        <w:t xml:space="preserve">”</w:t>
      </w:r>
      <w:r>
        <w:t xml:space="preserve">).</w:t>
      </w:r>
    </w:p>
    <w:bookmarkEnd w:id="43"/>
    <w:bookmarkEnd w:id="44"/>
    <w:bookmarkStart w:id="55" w:name="diseño-de-la-base-de-datos"/>
    <w:p>
      <w:pPr>
        <w:pStyle w:val="Ttulo1"/>
      </w:pPr>
      <w:r>
        <w:t xml:space="preserve">4. Diseño de la base de datos</w:t>
      </w:r>
    </w:p>
    <w:bookmarkStart w:id="48" w:name="diseño-lógico-modelo-relacional"/>
    <w:p>
      <w:pPr>
        <w:pStyle w:val="Ttulo2"/>
      </w:pPr>
      <w:r>
        <w:t xml:space="preserve">Diseño lógico (modelo relacional)</w:t>
      </w:r>
    </w:p>
    <w:p>
      <w:pPr>
        <w:pStyle w:val="FirstParagraph"/>
      </w:pPr>
      <w:r>
        <w:t xml:space="preserve">Cada entidad se tradujo a una tabla y cada relación a una llave foránea: en las relaciones 1:N la tabla del lado</w:t>
      </w:r>
      <w:r>
        <w:t xml:space="preserve"> </w:t>
      </w:r>
      <w:r>
        <w:t xml:space="preserve">“</w:t>
      </w:r>
      <w:r>
        <w:t xml:space="preserve">muchos</w:t>
      </w:r>
      <w:r>
        <w:t xml:space="preserve">”</w:t>
      </w:r>
      <w:r>
        <w:t xml:space="preserve"> </w:t>
      </w:r>
      <w:r>
        <w:t xml:space="preserve">recibe la llave; en las 1:0..1 la llave lleva además una restricción UNIQUE; las relaciones opcionales aceptan nulos, y las tablas intermedias llevan UNIQUE sobre el par de llaves para no duplicar registros. Resultado:</w:t>
      </w:r>
      <w:r>
        <w:t xml:space="preserve"> </w:t>
      </w:r>
      <w:r>
        <w:rPr>
          <w:bCs/>
          <w:b/>
        </w:rPr>
        <w:t xml:space="preserve">20 tablas y 26 llaves foráneas</w:t>
      </w:r>
      <w:r>
        <w:t xml:space="preserve">.</w:t>
      </w:r>
    </w:p>
    <w:p>
      <w:pPr>
        <w:pStyle w:val="CaptionedFigure"/>
      </w:pPr>
      <w:r>
        <w:drawing>
          <wp:inline>
            <wp:extent cx="5939999" cy="3084418"/>
            <wp:effectExtent b="0" l="0" r="0" t="0"/>
            <wp:docPr descr="Figura 5. Modelo relacional" title="" id="46" name="Picture"/>
            <a:graphic>
              <a:graphicData uri="http://schemas.openxmlformats.org/drawingml/2006/picture">
                <pic:pic>
                  <pic:nvPicPr>
                    <pic:cNvPr descr="img/fig5-modelo-relacional.png" id="47" name="Picture"/>
                    <pic:cNvPicPr>
                      <a:picLocks noChangeArrowheads="1" noChangeAspect="1"/>
                    </pic:cNvPicPr>
                  </pic:nvPicPr>
                  <pic:blipFill>
                    <a:blip r:embed="rId45"/>
                    <a:stretch>
                      <a:fillRect/>
                    </a:stretch>
                  </pic:blipFill>
                  <pic:spPr bwMode="auto">
                    <a:xfrm>
                      <a:off x="0" y="0"/>
                      <a:ext cx="5939999" cy="3084418"/>
                    </a:xfrm>
                    <a:prstGeom prst="rect">
                      <a:avLst/>
                    </a:prstGeom>
                    <a:noFill/>
                    <a:ln w="9525">
                      <a:noFill/>
                      <a:headEnd/>
                      <a:tailEnd/>
                    </a:ln>
                  </pic:spPr>
                </pic:pic>
              </a:graphicData>
            </a:graphic>
          </wp:inline>
        </w:drawing>
      </w:r>
    </w:p>
    <w:p>
      <w:pPr>
        <w:pStyle w:val="ImageCaption"/>
      </w:pPr>
      <w:r>
        <w:t xml:space="preserve">Figura 5. Modelo relacional</w:t>
      </w:r>
    </w:p>
    <w:p>
      <w:pPr>
        <w:pStyle w:val="BodyText"/>
      </w:pPr>
      <w:r>
        <w:rPr>
          <w:bCs/>
          <w:b/>
        </w:rPr>
        <w:t xml:space="preserve">Política de borrado:</w:t>
      </w:r>
      <w:r>
        <w:t xml:space="preserve"> </w:t>
      </w:r>
      <w:r>
        <w:t xml:space="preserve">por defecto</w:t>
      </w:r>
      <w:r>
        <w:t xml:space="preserve"> </w:t>
      </w:r>
      <w:r>
        <w:rPr>
          <w:rStyle w:val="VerbatimChar"/>
        </w:rPr>
        <w:t xml:space="preserve">ON DELETE RESTRICT</w:t>
      </w:r>
      <w:r>
        <w:t xml:space="preserve">, que impide borrar un registro mientras otros dependan de él; usuarios, cursos, estándares y evaluaciones se desactivan en lugar de borrarse (RNF-08, RNF-10). Excepciones: los tokens de recuperación se borran junto con su usuario (CASCADE) y el curso de interés del participante queda vacío si el curso desaparece (SET NULL).</w:t>
      </w:r>
    </w:p>
    <w:p>
      <w:pPr>
        <w:pStyle w:val="BodyText"/>
      </w:pPr>
      <w:r>
        <w:rPr>
          <w:bCs/>
          <w:b/>
        </w:rPr>
        <w:t xml:space="preserve">Reglas que valida el backend</w:t>
      </w:r>
      <w:r>
        <w:t xml:space="preserve"> </w:t>
      </w:r>
      <w:r>
        <w:t xml:space="preserve">(una llave foránea solo garantiza que el registro exista): el instructor y el evaluador de un grupo deben tener ese rol; no se inscribe si el grupo no tiene cupo o no está planeado o en curso; la evaluación debe pertenecer al estándar del curso; solo se crea un trámite a partir de un intento con dictamen</w:t>
      </w:r>
      <w:r>
        <w:t xml:space="preserve"> </w:t>
      </w:r>
      <w:r>
        <w:t xml:space="preserve">“</w:t>
      </w:r>
      <w:r>
        <w:t xml:space="preserve">competente</w:t>
      </w:r>
      <w:r>
        <w:t xml:space="preserve">”</w:t>
      </w:r>
      <w:r>
        <w:t xml:space="preserve">, y al crear el trámite se registra su primer estatus en el historial.</w:t>
      </w:r>
    </w:p>
    <w:bookmarkEnd w:id="48"/>
    <w:bookmarkStart w:id="49" w:name="normalización"/>
    <w:p>
      <w:pPr>
        <w:pStyle w:val="Ttulo2"/>
      </w:pPr>
      <w:r>
        <w:t xml:space="preserve">Normalización</w:t>
      </w:r>
    </w:p>
    <w:p>
      <w:pPr>
        <w:pStyle w:val="FirstParagraph"/>
      </w:pPr>
      <w:r>
        <w:t xml:space="preserve">Las 20 tablas cumplen la primera, segunda y tercera forma normal: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 normal</w:t>
            </w:r>
          </w:p>
        </w:tc>
        <w:tc>
          <w:tcPr/>
          <w:p>
            <w:pPr>
              <w:pStyle w:val="Compact"/>
              <w:jc w:val="left"/>
            </w:pPr>
            <w:r>
              <w:t xml:space="preserve">Revisión</w:t>
            </w:r>
          </w:p>
        </w:tc>
        <w:tc>
          <w:tcPr/>
          <w:p>
            <w:pPr>
              <w:pStyle w:val="Compact"/>
              <w:jc w:val="left"/>
            </w:pPr>
            <w:r>
              <w:t xml:space="preserve">Resultado</w:t>
            </w:r>
          </w:p>
        </w:tc>
      </w:tr>
      <w:tr>
        <w:tc>
          <w:tcPr/>
          <w:p>
            <w:pPr>
              <w:pStyle w:val="Compact"/>
              <w:jc w:val="left"/>
            </w:pPr>
            <w:r>
              <w:t xml:space="preserve">1FN</w:t>
            </w:r>
          </w:p>
        </w:tc>
        <w:tc>
          <w:tcPr/>
          <w:p>
            <w:pPr>
              <w:pStyle w:val="Compact"/>
              <w:jc w:val="left"/>
            </w:pPr>
            <w:r>
              <w:t xml:space="preserve">Valores atómicos, sin grupos repetidos, llave primaria propia</w:t>
            </w:r>
          </w:p>
        </w:tc>
        <w:tc>
          <w:tcPr/>
          <w:p>
            <w:pPr>
              <w:pStyle w:val="Compact"/>
              <w:jc w:val="left"/>
            </w:pPr>
            <w:r>
              <w:t xml:space="preserve">Cumplen las 20 tablas; los datos múltiples ya son tablas aparte (documentos, sesiones, intentos, historial)</w:t>
            </w:r>
          </w:p>
        </w:tc>
      </w:tr>
      <w:tr>
        <w:tc>
          <w:tcPr/>
          <w:p>
            <w:pPr>
              <w:pStyle w:val="Compact"/>
              <w:jc w:val="left"/>
            </w:pPr>
            <w:r>
              <w:t xml:space="preserve">2FN</w:t>
            </w:r>
          </w:p>
        </w:tc>
        <w:tc>
          <w:tcPr/>
          <w:p>
            <w:pPr>
              <w:pStyle w:val="Compact"/>
              <w:jc w:val="left"/>
            </w:pPr>
            <w:r>
              <w:t xml:space="preserve">Ninguna columna depende de una parte de una llave compuesta</w:t>
            </w:r>
          </w:p>
        </w:tc>
        <w:tc>
          <w:tcPr/>
          <w:p>
            <w:pPr>
              <w:pStyle w:val="Compact"/>
              <w:jc w:val="left"/>
            </w:pPr>
            <w:r>
              <w:t xml:space="preserve">Cumplen; se revisaron las llaves candidatas de INSCRIPCION, ASISTENCIA, CONSULTA_MATERIAL e INTENTO_EVALUACION</w:t>
            </w:r>
          </w:p>
        </w:tc>
      </w:tr>
      <w:tr>
        <w:tc>
          <w:tcPr/>
          <w:p>
            <w:pPr>
              <w:pStyle w:val="Compact"/>
              <w:jc w:val="left"/>
            </w:pPr>
            <w:r>
              <w:t xml:space="preserve">3FN</w:t>
            </w:r>
          </w:p>
        </w:tc>
        <w:tc>
          <w:tcPr/>
          <w:p>
            <w:pPr>
              <w:pStyle w:val="Compact"/>
              <w:jc w:val="left"/>
            </w:pPr>
            <w:r>
              <w:t xml:space="preserve">Ninguna columna depende de otra que no es llave</w:t>
            </w:r>
          </w:p>
        </w:tc>
        <w:tc>
          <w:tcPr/>
          <w:p>
            <w:pPr>
              <w:pStyle w:val="Compact"/>
              <w:jc w:val="left"/>
            </w:pPr>
            <w:r>
              <w:t xml:space="preserve">Dos ajustes y dos excepciones documentadas</w:t>
            </w:r>
          </w:p>
        </w:tc>
      </w:tr>
    </w:tbl>
    <w:p>
      <w:pPr>
        <w:numPr>
          <w:ilvl w:val="0"/>
          <w:numId w:val="1002"/>
        </w:numPr>
        <w:pStyle w:val="Compact"/>
      </w:pPr>
      <w:r>
        <w:rPr>
          <w:bCs/>
          <w:b/>
        </w:rPr>
        <w:t xml:space="preserve">Ajustes:</w:t>
      </w:r>
      <w:r>
        <w:t xml:space="preserve"> </w:t>
      </w:r>
      <w:r>
        <w:t xml:space="preserve">se eliminaron</w:t>
      </w:r>
      <w:r>
        <w:t xml:space="preserve"> </w:t>
      </w:r>
      <w:r>
        <w:rPr>
          <w:rStyle w:val="VerbatimChar"/>
        </w:rPr>
        <w:t xml:space="preserve">PARTICIPANTE.fecha_registro</w:t>
      </w:r>
      <w:r>
        <w:t xml:space="preserve"> </w:t>
      </w:r>
      <w:r>
        <w:t xml:space="preserve">(repetía la fecha de registro del usuario) y</w:t>
      </w:r>
      <w:r>
        <w:t xml:space="preserve"> </w:t>
      </w:r>
      <w:r>
        <w:rPr>
          <w:rStyle w:val="VerbatimChar"/>
        </w:rPr>
        <w:t xml:space="preserve">GRUPO.horario</w:t>
      </w:r>
      <w:r>
        <w:t xml:space="preserve"> </w:t>
      </w:r>
      <w:r>
        <w:t xml:space="preserve">(repetía lo que guarda SESION).</w:t>
      </w:r>
    </w:p>
    <w:p>
      <w:pPr>
        <w:numPr>
          <w:ilvl w:val="0"/>
          <w:numId w:val="1002"/>
        </w:numPr>
        <w:pStyle w:val="Compact"/>
      </w:pPr>
      <w:r>
        <w:rPr>
          <w:bCs/>
          <w:b/>
        </w:rPr>
        <w:t xml:space="preserve">Excepciones documentadas:</w:t>
      </w:r>
      <w:r>
        <w:t xml:space="preserve"> </w:t>
      </w:r>
      <w:r>
        <w:rPr>
          <w:rStyle w:val="VerbatimChar"/>
        </w:rPr>
        <w:t xml:space="preserve">INTENTO_EVALUACION.estatus</w:t>
      </w:r>
      <w:r>
        <w:t xml:space="preserve"> </w:t>
      </w:r>
      <w:r>
        <w:t xml:space="preserve">se conserva aunque podría calcularse, para que un cambio posterior en la calificación mínima no altere resultados ya presentados (RNF-06);</w:t>
      </w:r>
      <w:r>
        <w:t xml:space="preserve"> </w:t>
      </w:r>
      <w:r>
        <w:rPr>
          <w:rStyle w:val="VerbatimChar"/>
        </w:rPr>
        <w:t xml:space="preserve">TRAMITE_CERTIFICACION.estatus</w:t>
      </w:r>
      <w:r>
        <w:t xml:space="preserve"> </w:t>
      </w:r>
      <w:r>
        <w:t xml:space="preserve">se conserva por rendimiento en búsquedas y reportes. En ambos casos solo el servicio del backend escribe esas columnas, y el estatus del trámite y su historial se guardan en la misma transacción.</w:t>
      </w:r>
    </w:p>
    <w:bookmarkEnd w:id="49"/>
    <w:bookmarkStart w:id="53" w:name="diseño-físico-en-mysql-8"/>
    <w:p>
      <w:pPr>
        <w:pStyle w:val="Ttulo2"/>
      </w:pPr>
      <w:r>
        <w:t xml:space="preserve">Diseño físico en MySQL 8</w:t>
      </w:r>
    </w:p>
    <w:p>
      <w:pPr>
        <w:pStyle w:val="FirstParagraph"/>
      </w:pPr>
      <w:r>
        <w:t xml:space="preserve">La base de datos</w:t>
      </w:r>
      <w:r>
        <w:t xml:space="preserve"> </w:t>
      </w:r>
      <w:r>
        <w:rPr>
          <w:rStyle w:val="VerbatimChar"/>
        </w:rPr>
        <w:t xml:space="preserve">cindec_db</w:t>
      </w:r>
      <w:r>
        <w:t xml:space="preserve"> </w:t>
      </w:r>
      <w:r>
        <w:t xml:space="preserve">se construyó en</w:t>
      </w:r>
      <w:r>
        <w:t xml:space="preserve"> </w:t>
      </w:r>
      <w:r>
        <w:rPr>
          <w:bCs/>
          <w:b/>
        </w:rPr>
        <w:t xml:space="preserve">MySQL 8.0.42</w:t>
      </w:r>
      <w:r>
        <w:t xml:space="preserve"> </w:t>
      </w:r>
      <w:r>
        <w:t xml:space="preserve">con MySQL Workbench (motor InnoDB,</w:t>
      </w:r>
      <w:r>
        <w:t xml:space="preserve"> </w:t>
      </w:r>
      <w:r>
        <w:rPr>
          <w:rStyle w:val="VerbatimChar"/>
        </w:rPr>
        <w:t xml:space="preserve">utf8mb4</w:t>
      </w:r>
      <w:r>
        <w:t xml:space="preserve">):</w:t>
      </w:r>
      <w:r>
        <w:t xml:space="preserve"> </w:t>
      </w:r>
      <w:r>
        <w:rPr>
          <w:bCs/>
          <w:b/>
        </w:rPr>
        <w:t xml:space="preserve">20 tablas, 128 columnas, 26 llaves foráneas y 5 índices adicionales</w:t>
      </w:r>
      <w:r>
        <w:t xml:space="preserve">, mediante nueve scripts SQL ejecutados en orden (creación de la base, un script por módulo, índices, datos de prueba y pruebas de reglas).</w:t>
      </w:r>
    </w:p>
    <w:p>
      <w:pPr>
        <w:pStyle w:val="CaptionedFigure"/>
      </w:pPr>
      <w:r>
        <w:drawing>
          <wp:inline>
            <wp:extent cx="5939999" cy="5224036"/>
            <wp:effectExtent b="0" l="0" r="0" t="0"/>
            <wp:docPr descr="Figura 6. Diagrama físico generado con MySQL Workbench (Reverse Engineer)" title="" id="51" name="Picture"/>
            <a:graphic>
              <a:graphicData uri="http://schemas.openxmlformats.org/drawingml/2006/picture">
                <pic:pic>
                  <pic:nvPicPr>
                    <pic:cNvPr descr="img/fig6-diagrama-fisico.png" id="52" name="Picture"/>
                    <pic:cNvPicPr>
                      <a:picLocks noChangeArrowheads="1" noChangeAspect="1"/>
                    </pic:cNvPicPr>
                  </pic:nvPicPr>
                  <pic:blipFill>
                    <a:blip r:embed="rId50"/>
                    <a:stretch>
                      <a:fillRect/>
                    </a:stretch>
                  </pic:blipFill>
                  <pic:spPr bwMode="auto">
                    <a:xfrm>
                      <a:off x="0" y="0"/>
                      <a:ext cx="5939999" cy="5224036"/>
                    </a:xfrm>
                    <a:prstGeom prst="rect">
                      <a:avLst/>
                    </a:prstGeom>
                    <a:noFill/>
                    <a:ln w="9525">
                      <a:noFill/>
                      <a:headEnd/>
                      <a:tailEnd/>
                    </a:ln>
                  </pic:spPr>
                </pic:pic>
              </a:graphicData>
            </a:graphic>
          </wp:inline>
        </w:drawing>
      </w:r>
    </w:p>
    <w:p>
      <w:pPr>
        <w:pStyle w:val="ImageCaption"/>
      </w:pPr>
      <w:r>
        <w:t xml:space="preserve">Figura 6. Diagrama físico generado con MySQL Workbench (Reverse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Convención</w:t>
            </w:r>
          </w:p>
        </w:tc>
      </w:tr>
      <w:tr>
        <w:tc>
          <w:tcPr/>
          <w:p>
            <w:pPr>
              <w:pStyle w:val="Compact"/>
              <w:jc w:val="left"/>
            </w:pPr>
            <w:r>
              <w:t xml:space="preserve">Nombres</w:t>
            </w:r>
          </w:p>
        </w:tc>
        <w:tc>
          <w:tcPr/>
          <w:p>
            <w:pPr>
              <w:pStyle w:val="Compact"/>
              <w:jc w:val="left"/>
            </w:pPr>
            <w:r>
              <w:t xml:space="preserve">Minúsculas, singular, con guion bajo (</w:t>
            </w:r>
            <w:r>
              <w:rPr>
                <w:rStyle w:val="VerbatimChar"/>
              </w:rPr>
              <w:t xml:space="preserve">intento_evaluacion</w:t>
            </w:r>
            <w:r>
              <w:t xml:space="preserve">)</w:t>
            </w:r>
          </w:p>
        </w:tc>
      </w:tr>
      <w:tr>
        <w:tc>
          <w:tcPr/>
          <w:p>
            <w:pPr>
              <w:pStyle w:val="Compact"/>
              <w:jc w:val="left"/>
            </w:pPr>
            <w:r>
              <w:t xml:space="preserve">Llaves primarias</w:t>
            </w:r>
          </w:p>
        </w:tc>
        <w:tc>
          <w:tcPr/>
          <w:p>
            <w:pPr>
              <w:pStyle w:val="Compact"/>
              <w:jc w:val="left"/>
            </w:pPr>
            <w:r>
              <w:rPr>
                <w:rStyle w:val="VerbatimChar"/>
              </w:rPr>
              <w:t xml:space="preserve">id_&lt;tabla&gt;</w:t>
            </w:r>
            <w:r>
              <w:t xml:space="preserve">,</w:t>
            </w:r>
            <w:r>
              <w:t xml:space="preserve"> </w:t>
            </w:r>
            <w:r>
              <w:rPr>
                <w:rStyle w:val="VerbatimChar"/>
              </w:rPr>
              <w:t xml:space="preserve">INT UNSIGNED AUTO_INCREMENT</w:t>
            </w:r>
          </w:p>
        </w:tc>
      </w:tr>
      <w:tr>
        <w:tc>
          <w:tcPr/>
          <w:p>
            <w:pPr>
              <w:pStyle w:val="Compact"/>
              <w:jc w:val="left"/>
            </w:pPr>
            <w:r>
              <w:t xml:space="preserve">Restricciones</w:t>
            </w:r>
          </w:p>
        </w:tc>
        <w:tc>
          <w:tcPr/>
          <w:p>
            <w:pPr>
              <w:pStyle w:val="Compact"/>
              <w:jc w:val="left"/>
            </w:pPr>
            <w:r>
              <w:t xml:space="preserve">Prefijos</w:t>
            </w:r>
            <w:r>
              <w:t xml:space="preserve"> </w:t>
            </w:r>
            <w:r>
              <w:rPr>
                <w:rStyle w:val="VerbatimChar"/>
              </w:rPr>
              <w:t xml:space="preserve">pk_</w:t>
            </w:r>
            <w:r>
              <w:t xml:space="preserve">,</w:t>
            </w:r>
            <w:r>
              <w:t xml:space="preserve"> </w:t>
            </w:r>
            <w:r>
              <w:rPr>
                <w:rStyle w:val="VerbatimChar"/>
              </w:rPr>
              <w:t xml:space="preserve">uq_</w:t>
            </w:r>
            <w:r>
              <w:t xml:space="preserve">,</w:t>
            </w:r>
            <w:r>
              <w:t xml:space="preserve"> </w:t>
            </w:r>
            <w:r>
              <w:rPr>
                <w:rStyle w:val="VerbatimChar"/>
              </w:rPr>
              <w:t xml:space="preserve">fk_</w:t>
            </w:r>
            <w:r>
              <w:t xml:space="preserve">,</w:t>
            </w:r>
            <w:r>
              <w:t xml:space="preserve"> </w:t>
            </w:r>
            <w:r>
              <w:rPr>
                <w:rStyle w:val="VerbatimChar"/>
              </w:rPr>
              <w:t xml:space="preserve">ck_</w:t>
            </w:r>
            <w:r>
              <w:t xml:space="preserve">,</w:t>
            </w:r>
            <w:r>
              <w:t xml:space="preserve"> </w:t>
            </w:r>
            <w:r>
              <w:rPr>
                <w:rStyle w:val="VerbatimChar"/>
              </w:rPr>
              <w:t xml:space="preserve">idx_</w:t>
            </w:r>
          </w:p>
        </w:tc>
      </w:tr>
      <w:tr>
        <w:tc>
          <w:tcPr/>
          <w:p>
            <w:pPr>
              <w:pStyle w:val="Compact"/>
              <w:jc w:val="left"/>
            </w:pPr>
            <w:r>
              <w:t xml:space="preserve">Tipos</w:t>
            </w:r>
          </w:p>
        </w:tc>
        <w:tc>
          <w:tcPr/>
          <w:p>
            <w:pPr>
              <w:pStyle w:val="Compact"/>
              <w:jc w:val="left"/>
            </w:pPr>
            <w:r>
              <w:rPr>
                <w:rStyle w:val="VerbatimChar"/>
              </w:rPr>
              <w:t xml:space="preserve">VARCHAR(n)</w:t>
            </w:r>
            <w:r>
              <w:t xml:space="preserve">;</w:t>
            </w:r>
            <w:r>
              <w:t xml:space="preserve"> </w:t>
            </w:r>
            <w:r>
              <w:rPr>
                <w:rStyle w:val="VerbatimChar"/>
              </w:rPr>
              <w:t xml:space="preserve">CHAR(18)</w:t>
            </w:r>
            <w:r>
              <w:t xml:space="preserve"> </w:t>
            </w:r>
            <w:r>
              <w:t xml:space="preserve">para la CURP;</w:t>
            </w:r>
            <w:r>
              <w:t xml:space="preserve"> </w:t>
            </w:r>
            <w:r>
              <w:rPr>
                <w:rStyle w:val="VerbatimChar"/>
              </w:rPr>
              <w:t xml:space="preserve">CHAR(60)</w:t>
            </w:r>
            <w:r>
              <w:t xml:space="preserve"> </w:t>
            </w:r>
            <w:r>
              <w:t xml:space="preserve">para el hash bcrypt;</w:t>
            </w:r>
            <w:r>
              <w:t xml:space="preserve"> </w:t>
            </w:r>
            <w:r>
              <w:rPr>
                <w:rStyle w:val="VerbatimChar"/>
              </w:rPr>
              <w:t xml:space="preserve">DECIMAL(5,2)</w:t>
            </w:r>
            <w:r>
              <w:t xml:space="preserve"> </w:t>
            </w:r>
            <w:r>
              <w:t xml:space="preserve">para calificaciones;</w:t>
            </w:r>
            <w:r>
              <w:t xml:space="preserve"> </w:t>
            </w:r>
            <w:r>
              <w:rPr>
                <w:rStyle w:val="VerbatimChar"/>
              </w:rPr>
              <w:t xml:space="preserve">ENUM</w:t>
            </w:r>
            <w:r>
              <w:t xml:space="preserve"> </w:t>
            </w:r>
            <w:r>
              <w:t xml:space="preserve">para listas cerradas;</w:t>
            </w:r>
            <w:r>
              <w:t xml:space="preserve"> </w:t>
            </w:r>
            <w:r>
              <w:rPr>
                <w:rStyle w:val="VerbatimChar"/>
              </w:rPr>
              <w:t xml:space="preserve">BOOLEAN</w:t>
            </w:r>
            <w:r>
              <w:t xml:space="preserve">;</w:t>
            </w:r>
            <w:r>
              <w:t xml:space="preserve"> </w:t>
            </w:r>
            <w:r>
              <w:rPr>
                <w:rStyle w:val="VerbatimChar"/>
              </w:rPr>
              <w:t xml:space="preserve">DATE</w:t>
            </w:r>
            <w:r>
              <w:t xml:space="preserve">,</w:t>
            </w:r>
            <w:r>
              <w:t xml:space="preserve"> </w:t>
            </w:r>
            <w:r>
              <w:rPr>
                <w:rStyle w:val="VerbatimChar"/>
              </w:rPr>
              <w:t xml:space="preserve">DATETIME</w:t>
            </w:r>
            <w:r>
              <w:t xml:space="preserve"> </w:t>
            </w:r>
            <w:r>
              <w:t xml:space="preserve">y</w:t>
            </w:r>
            <w:r>
              <w:t xml:space="preserve"> </w:t>
            </w:r>
            <w:r>
              <w:rPr>
                <w:rStyle w:val="VerbatimChar"/>
              </w:rPr>
              <w:t xml:space="preserve">TIME</w:t>
            </w:r>
          </w:p>
        </w:tc>
      </w:tr>
      <w:tr>
        <w:tc>
          <w:tcPr/>
          <w:p>
            <w:pPr>
              <w:pStyle w:val="Compact"/>
              <w:jc w:val="left"/>
            </w:pPr>
            <w:r>
              <w:t xml:space="preserve">Índices adicionales</w:t>
            </w:r>
          </w:p>
        </w:tc>
        <w:tc>
          <w:tcPr/>
          <w:p>
            <w:pPr>
              <w:pStyle w:val="Compact"/>
              <w:jc w:val="left"/>
            </w:pPr>
            <w:r>
              <w:t xml:space="preserve">Búsqueda de usuarios por apellidos y nombre; usuarios por fecha de registro; grupos por estatus y fecha de inicio; trámites por estatus y fecha; auditoría por entidad y registro</w:t>
            </w:r>
          </w:p>
        </w:tc>
      </w:tr>
    </w:tbl>
    <w:p>
      <w:pPr>
        <w:pStyle w:val="BodyText"/>
      </w:pPr>
      <w:r>
        <w:t xml:space="preserve">El</w:t>
      </w:r>
      <w:r>
        <w:t xml:space="preserve"> </w:t>
      </w:r>
      <w:r>
        <w:rPr>
          <w:bCs/>
          <w:b/>
        </w:rPr>
        <w:t xml:space="preserve">diccionario de datos</w:t>
      </w:r>
      <w:r>
        <w:t xml:space="preserve"> </w:t>
      </w:r>
      <w:r>
        <w:t xml:space="preserve">completo (cada columna con su tipo, nulos, llave, valor por omisión y descripción) se entrega en</w:t>
      </w:r>
      <w:r>
        <w:t xml:space="preserve"> </w:t>
      </w:r>
      <w:r>
        <w:rPr>
          <w:rStyle w:val="VerbatimChar"/>
        </w:rPr>
        <w:t xml:space="preserve">03-3-diccionario-de-datos.md</w:t>
      </w:r>
      <w:r>
        <w:t xml:space="preserve"> </w:t>
      </w:r>
      <w:r>
        <w:t xml:space="preserve">y en el libro de Excel</w:t>
      </w:r>
      <w:r>
        <w:t xml:space="preserve"> </w:t>
      </w:r>
      <w:r>
        <w:rPr>
          <w:iCs/>
          <w:i/>
        </w:rPr>
        <w:t xml:space="preserve">Diccionario de datos cindec_db</w:t>
      </w:r>
      <w:r>
        <w:t xml:space="preserve">.</w:t>
      </w:r>
    </w:p>
    <w:bookmarkEnd w:id="53"/>
    <w:bookmarkStart w:id="54" w:name="pruebas-de-las-reglas-de-integridad"/>
    <w:p>
      <w:pPr>
        <w:pStyle w:val="Ttulo2"/>
      </w:pPr>
      <w:r>
        <w:t xml:space="preserve">Pruebas de las reglas de integridad</w:t>
      </w:r>
    </w:p>
    <w:p>
      <w:pPr>
        <w:pStyle w:val="FirstParagraph"/>
      </w:pPr>
      <w:r>
        <w:t xml:space="preserve">Para comprobar que la propia base de datos protege la información, se ejecutaron nueve pruebas sobre datos ficticios. Las ocho primeras</w:t>
      </w:r>
      <w:r>
        <w:t xml:space="preserve"> </w:t>
      </w:r>
      <w:r>
        <w:rPr>
          <w:bCs/>
          <w:b/>
        </w:rPr>
        <w:t xml:space="preserve">debían fallar</w:t>
      </w:r>
      <w:r>
        <w:t xml:space="preserve">: el error es la evidencia de que la regla funciona.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Regla probada</w:t>
            </w:r>
          </w:p>
        </w:tc>
        <w:tc>
          <w:tcPr/>
          <w:p>
            <w:pPr>
              <w:pStyle w:val="Compact"/>
              <w:jc w:val="left"/>
            </w:pPr>
            <w:r>
              <w:t xml:space="preserve">Operación intentada</w:t>
            </w:r>
          </w:p>
        </w:tc>
        <w:tc>
          <w:tcPr/>
          <w:p>
            <w:pPr>
              <w:pStyle w:val="Compact"/>
              <w:jc w:val="left"/>
            </w:pPr>
            <w:r>
              <w:t xml:space="preserve">Resultado obtenido</w:t>
            </w:r>
          </w:p>
        </w:tc>
      </w:tr>
      <w:tr>
        <w:tc>
          <w:tcPr/>
          <w:p>
            <w:pPr>
              <w:pStyle w:val="Compact"/>
              <w:jc w:val="left"/>
            </w:pPr>
            <w:r>
              <w:t xml:space="preserve">1</w:t>
            </w:r>
          </w:p>
        </w:tc>
        <w:tc>
          <w:tcPr/>
          <w:p>
            <w:pPr>
              <w:pStyle w:val="Compact"/>
              <w:jc w:val="left"/>
            </w:pPr>
            <w:r>
              <w:t xml:space="preserve">UNIQUE</w:t>
            </w:r>
          </w:p>
        </w:tc>
        <w:tc>
          <w:tcPr/>
          <w:p>
            <w:pPr>
              <w:pStyle w:val="Compact"/>
              <w:jc w:val="left"/>
            </w:pPr>
            <w:r>
              <w:t xml:space="preserve">Registrar un correo repetido</w:t>
            </w:r>
          </w:p>
        </w:tc>
        <w:tc>
          <w:tcPr/>
          <w:p>
            <w:pPr>
              <w:pStyle w:val="Compact"/>
              <w:jc w:val="left"/>
            </w:pPr>
            <w:r>
              <w:t xml:space="preserve">Error 1062: entrada duplicada</w:t>
            </w:r>
          </w:p>
        </w:tc>
      </w:tr>
      <w:tr>
        <w:tc>
          <w:tcPr/>
          <w:p>
            <w:pPr>
              <w:pStyle w:val="Compact"/>
              <w:jc w:val="left"/>
            </w:pPr>
            <w:r>
              <w:t xml:space="preserve">2</w:t>
            </w:r>
          </w:p>
        </w:tc>
        <w:tc>
          <w:tcPr/>
          <w:p>
            <w:pPr>
              <w:pStyle w:val="Compact"/>
              <w:jc w:val="left"/>
            </w:pPr>
            <w:r>
              <w:t xml:space="preserve">FOREIGN KEY</w:t>
            </w:r>
          </w:p>
        </w:tc>
        <w:tc>
          <w:tcPr/>
          <w:p>
            <w:pPr>
              <w:pStyle w:val="Compact"/>
              <w:jc w:val="left"/>
            </w:pPr>
            <w:r>
              <w:t xml:space="preserve">Usuario con un rol que no existe</w:t>
            </w:r>
          </w:p>
        </w:tc>
        <w:tc>
          <w:tcPr/>
          <w:p>
            <w:pPr>
              <w:pStyle w:val="Compact"/>
              <w:jc w:val="left"/>
            </w:pPr>
            <w:r>
              <w:t xml:space="preserve">Error 1452: no existe el registro padre</w:t>
            </w:r>
          </w:p>
        </w:tc>
      </w:tr>
      <w:tr>
        <w:tc>
          <w:tcPr/>
          <w:p>
            <w:pPr>
              <w:pStyle w:val="Compact"/>
              <w:jc w:val="left"/>
            </w:pPr>
            <w:r>
              <w:t xml:space="preserve">3</w:t>
            </w:r>
          </w:p>
        </w:tc>
        <w:tc>
          <w:tcPr/>
          <w:p>
            <w:pPr>
              <w:pStyle w:val="Compact"/>
              <w:jc w:val="left"/>
            </w:pPr>
            <w:r>
              <w:t xml:space="preserve">ON DELETE RESTRICT</w:t>
            </w:r>
          </w:p>
        </w:tc>
        <w:tc>
          <w:tcPr/>
          <w:p>
            <w:pPr>
              <w:pStyle w:val="Compact"/>
              <w:jc w:val="left"/>
            </w:pPr>
            <w:r>
              <w:t xml:space="preserve">Borrar un rol que tiene usuarios</w:t>
            </w:r>
          </w:p>
        </w:tc>
        <w:tc>
          <w:tcPr/>
          <w:p>
            <w:pPr>
              <w:pStyle w:val="Compact"/>
              <w:jc w:val="left"/>
            </w:pPr>
            <w:r>
              <w:t xml:space="preserve">Error 1451: el registro tiene dependientes</w:t>
            </w:r>
          </w:p>
        </w:tc>
      </w:tr>
      <w:tr>
        <w:tc>
          <w:tcPr/>
          <w:p>
            <w:pPr>
              <w:pStyle w:val="Compact"/>
              <w:jc w:val="left"/>
            </w:pPr>
            <w:r>
              <w:t xml:space="preserve">4</w:t>
            </w:r>
          </w:p>
        </w:tc>
        <w:tc>
          <w:tcPr/>
          <w:p>
            <w:pPr>
              <w:pStyle w:val="Compact"/>
              <w:jc w:val="left"/>
            </w:pPr>
            <w:r>
              <w:t xml:space="preserve">CHECK</w:t>
            </w:r>
          </w:p>
        </w:tc>
        <w:tc>
          <w:tcPr/>
          <w:p>
            <w:pPr>
              <w:pStyle w:val="Compact"/>
              <w:jc w:val="left"/>
            </w:pPr>
            <w:r>
              <w:t xml:space="preserve">Grupo que termina antes de empezar</w:t>
            </w:r>
          </w:p>
        </w:tc>
        <w:tc>
          <w:tcPr/>
          <w:p>
            <w:pPr>
              <w:pStyle w:val="Compact"/>
              <w:jc w:val="left"/>
            </w:pPr>
            <w:r>
              <w:t xml:space="preserve">Error 3819: viola</w:t>
            </w:r>
            <w:r>
              <w:t xml:space="preserve"> </w:t>
            </w:r>
            <w:r>
              <w:rPr>
                <w:rStyle w:val="VerbatimChar"/>
              </w:rPr>
              <w:t xml:space="preserve">ck_grupo_fechas</w:t>
            </w:r>
          </w:p>
        </w:tc>
      </w:tr>
      <w:tr>
        <w:tc>
          <w:tcPr/>
          <w:p>
            <w:pPr>
              <w:pStyle w:val="Compact"/>
              <w:jc w:val="left"/>
            </w:pPr>
            <w:r>
              <w:t xml:space="preserve">5</w:t>
            </w:r>
          </w:p>
        </w:tc>
        <w:tc>
          <w:tcPr/>
          <w:p>
            <w:pPr>
              <w:pStyle w:val="Compact"/>
              <w:jc w:val="left"/>
            </w:pPr>
            <w:r>
              <w:t xml:space="preserve">CHECK</w:t>
            </w:r>
          </w:p>
        </w:tc>
        <w:tc>
          <w:tcPr/>
          <w:p>
            <w:pPr>
              <w:pStyle w:val="Compact"/>
              <w:jc w:val="left"/>
            </w:pPr>
            <w:r>
              <w:t xml:space="preserve">Calificación de 150</w:t>
            </w:r>
          </w:p>
        </w:tc>
        <w:tc>
          <w:tcPr/>
          <w:p>
            <w:pPr>
              <w:pStyle w:val="Compact"/>
              <w:jc w:val="left"/>
            </w:pPr>
            <w:r>
              <w:t xml:space="preserve">Error 3819: viola</w:t>
            </w:r>
            <w:r>
              <w:t xml:space="preserve"> </w:t>
            </w:r>
            <w:r>
              <w:rPr>
                <w:rStyle w:val="VerbatimChar"/>
              </w:rPr>
              <w:t xml:space="preserve">ck_intento_calificacion</w:t>
            </w:r>
          </w:p>
        </w:tc>
      </w:tr>
      <w:tr>
        <w:tc>
          <w:tcPr/>
          <w:p>
            <w:pPr>
              <w:pStyle w:val="Compact"/>
              <w:jc w:val="left"/>
            </w:pPr>
            <w:r>
              <w:t xml:space="preserve">6</w:t>
            </w:r>
          </w:p>
        </w:tc>
        <w:tc>
          <w:tcPr/>
          <w:p>
            <w:pPr>
              <w:pStyle w:val="Compact"/>
              <w:jc w:val="left"/>
            </w:pPr>
            <w:r>
              <w:t xml:space="preserve">CHECK</w:t>
            </w:r>
          </w:p>
        </w:tc>
        <w:tc>
          <w:tcPr/>
          <w:p>
            <w:pPr>
              <w:pStyle w:val="Compact"/>
              <w:jc w:val="left"/>
            </w:pPr>
            <w:r>
              <w:t xml:space="preserve">Intento</w:t>
            </w:r>
            <w:r>
              <w:t xml:space="preserve"> </w:t>
            </w:r>
            <w:r>
              <w:t xml:space="preserve">“</w:t>
            </w:r>
            <w:r>
              <w:t xml:space="preserve">aprobada</w:t>
            </w:r>
            <w:r>
              <w:t xml:space="preserve">”</w:t>
            </w:r>
            <w:r>
              <w:t xml:space="preserve"> </w:t>
            </w:r>
            <w:r>
              <w:t xml:space="preserve">sin calificación</w:t>
            </w:r>
          </w:p>
        </w:tc>
        <w:tc>
          <w:tcPr/>
          <w:p>
            <w:pPr>
              <w:pStyle w:val="Compact"/>
              <w:jc w:val="left"/>
            </w:pPr>
            <w:r>
              <w:t xml:space="preserve">Error 3819: viola</w:t>
            </w:r>
            <w:r>
              <w:t xml:space="preserve"> </w:t>
            </w:r>
            <w:r>
              <w:rPr>
                <w:rStyle w:val="VerbatimChar"/>
              </w:rPr>
              <w:t xml:space="preserve">ck_intento_estatus</w:t>
            </w:r>
          </w:p>
        </w:tc>
      </w:tr>
      <w:tr>
        <w:tc>
          <w:tcPr/>
          <w:p>
            <w:pPr>
              <w:pStyle w:val="Compact"/>
              <w:jc w:val="left"/>
            </w:pPr>
            <w:r>
              <w:t xml:space="preserve">7</w:t>
            </w:r>
          </w:p>
        </w:tc>
        <w:tc>
          <w:tcPr/>
          <w:p>
            <w:pPr>
              <w:pStyle w:val="Compact"/>
              <w:jc w:val="left"/>
            </w:pPr>
            <w:r>
              <w:t xml:space="preserve">UNIQUE de dos columnas</w:t>
            </w:r>
          </w:p>
        </w:tc>
        <w:tc>
          <w:tcPr/>
          <w:p>
            <w:pPr>
              <w:pStyle w:val="Compact"/>
              <w:jc w:val="left"/>
            </w:pPr>
            <w:r>
              <w:t xml:space="preserve">Inscribir dos veces al mismo participante en un grupo</w:t>
            </w:r>
          </w:p>
        </w:tc>
        <w:tc>
          <w:tcPr/>
          <w:p>
            <w:pPr>
              <w:pStyle w:val="Compact"/>
              <w:jc w:val="left"/>
            </w:pPr>
            <w:r>
              <w:t xml:space="preserve">Error 1062: entrada duplicada</w:t>
            </w:r>
          </w:p>
        </w:tc>
      </w:tr>
      <w:tr>
        <w:tc>
          <w:tcPr/>
          <w:p>
            <w:pPr>
              <w:pStyle w:val="Compact"/>
              <w:jc w:val="left"/>
            </w:pPr>
            <w:r>
              <w:t xml:space="preserve">8</w:t>
            </w:r>
          </w:p>
        </w:tc>
        <w:tc>
          <w:tcPr/>
          <w:p>
            <w:pPr>
              <w:pStyle w:val="Compact"/>
              <w:jc w:val="left"/>
            </w:pPr>
            <w:r>
              <w:t xml:space="preserve">ENUM</w:t>
            </w:r>
          </w:p>
        </w:tc>
        <w:tc>
          <w:tcPr/>
          <w:p>
            <w:pPr>
              <w:pStyle w:val="Compact"/>
              <w:jc w:val="left"/>
            </w:pPr>
            <w:r>
              <w:t xml:space="preserve">Modalidad que no está en la lista</w:t>
            </w:r>
          </w:p>
        </w:tc>
        <w:tc>
          <w:tcPr/>
          <w:p>
            <w:pPr>
              <w:pStyle w:val="Compact"/>
              <w:jc w:val="left"/>
            </w:pPr>
            <w:r>
              <w:t xml:space="preserve">Error 1265: dato no válido</w:t>
            </w:r>
          </w:p>
        </w:tc>
      </w:tr>
      <w:tr>
        <w:tc>
          <w:tcPr/>
          <w:p>
            <w:pPr>
              <w:pStyle w:val="Compact"/>
              <w:jc w:val="left"/>
            </w:pPr>
            <w:r>
              <w:t xml:space="preserve">9</w:t>
            </w:r>
          </w:p>
        </w:tc>
        <w:tc>
          <w:tcPr/>
          <w:p>
            <w:pPr>
              <w:pStyle w:val="Compact"/>
              <w:jc w:val="left"/>
            </w:pPr>
            <w:r>
              <w:t xml:space="preserve">ON DELETE CASCADE</w:t>
            </w:r>
          </w:p>
        </w:tc>
        <w:tc>
          <w:tcPr/>
          <w:p>
            <w:pPr>
              <w:pStyle w:val="Compact"/>
              <w:jc w:val="left"/>
            </w:pPr>
            <w:r>
              <w:t xml:space="preserve">Borrar un usuario con un token de recuperación</w:t>
            </w:r>
          </w:p>
        </w:tc>
        <w:tc>
          <w:tcPr/>
          <w:p>
            <w:pPr>
              <w:pStyle w:val="Compact"/>
              <w:jc w:val="left"/>
            </w:pPr>
            <w:r>
              <w:t xml:space="preserve">Correcto: el token se borró junto con el usuario</w:t>
            </w:r>
          </w:p>
        </w:tc>
      </w:tr>
    </w:tbl>
    <w:p>
      <w:pPr>
        <w:pStyle w:val="BodyText"/>
      </w:pPr>
      <w:r>
        <w:t xml:space="preserve">Las capturas de la construcción y de cada prueba (53 figuras) están en el anexo</w:t>
      </w:r>
      <w:r>
        <w:t xml:space="preserve"> </w:t>
      </w:r>
      <w:r>
        <w:rPr>
          <w:iCs/>
          <w:i/>
        </w:rPr>
        <w:t xml:space="preserve">Evidencia de la construcción de la base de datos cindec_db</w:t>
      </w:r>
      <w:r>
        <w:t xml:space="preserve">.</w:t>
      </w:r>
    </w:p>
    <w:bookmarkEnd w:id="54"/>
    <w:bookmarkEnd w:id="55"/>
    <w:bookmarkStart w:id="86" w:name="diagramas-uml"/>
    <w:p>
      <w:pPr>
        <w:pStyle w:val="Ttulo1"/>
      </w:pPr>
      <w:r>
        <w:t xml:space="preserve">5. Diagramas UML</w:t>
      </w:r>
    </w:p>
    <w:bookmarkStart w:id="71" w:name="casos-de-uso"/>
    <w:p>
      <w:pPr>
        <w:pStyle w:val="Ttulo2"/>
      </w:pPr>
      <w:r>
        <w:t xml:space="preserve">Casos de uso</w:t>
      </w:r>
    </w:p>
    <w:p>
      <w:pPr>
        <w:pStyle w:val="FirstParagraph"/>
      </w:pPr>
      <w:r>
        <w:t xml:space="preserve">Se identificaron</w:t>
      </w:r>
      <w:r>
        <w:t xml:space="preserve"> </w:t>
      </w:r>
      <w:r>
        <w:rPr>
          <w:bCs/>
          <w:b/>
        </w:rPr>
        <w:t xml:space="preserve">22 casos de uso</w:t>
      </w:r>
      <w:r>
        <w:t xml:space="preserve">, organizados en un diagrama por módulo. El Administrador hereda del Coordinador; las relaciones «include» indican pasos que siempre ocurren (por ejemplo, inscribir siempre valida el cupo) y «extend» pasos condicionales (resguardar el documento de CONOCER cuando el trámite se emite). CONOCER no es actor, porque el sistema no se conecta con él; el servidor de correo sí lo 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w:t>
            </w:r>
          </w:p>
        </w:tc>
        <w:tc>
          <w:tcPr/>
          <w:p>
            <w:pPr>
              <w:pStyle w:val="Compact"/>
              <w:jc w:val="left"/>
            </w:pPr>
            <w:r>
              <w:t xml:space="preserve">Caso de uso</w:t>
            </w:r>
          </w:p>
        </w:tc>
        <w:tc>
          <w:tcPr/>
          <w:p>
            <w:pPr>
              <w:pStyle w:val="Compact"/>
              <w:jc w:val="left"/>
            </w:pPr>
            <w:r>
              <w:t xml:space="preserve">Actor</w:t>
            </w:r>
          </w:p>
        </w:tc>
        <w:tc>
          <w:tcPr/>
          <w:p>
            <w:pPr>
              <w:pStyle w:val="Compact"/>
              <w:jc w:val="left"/>
            </w:pPr>
            <w:r>
              <w:t xml:space="preserve">RF</w:t>
            </w:r>
          </w:p>
        </w:tc>
      </w:tr>
      <w:tr>
        <w:tc>
          <w:tcPr/>
          <w:p>
            <w:pPr>
              <w:pStyle w:val="Compact"/>
              <w:jc w:val="left"/>
            </w:pPr>
            <w:r>
              <w:t xml:space="preserve">CU-01</w:t>
            </w:r>
          </w:p>
        </w:tc>
        <w:tc>
          <w:tcPr/>
          <w:p>
            <w:pPr>
              <w:pStyle w:val="Compact"/>
              <w:jc w:val="left"/>
            </w:pPr>
            <w:r>
              <w:t xml:space="preserve">Iniciar sesión</w:t>
            </w:r>
          </w:p>
        </w:tc>
        <w:tc>
          <w:tcPr/>
          <w:p>
            <w:pPr>
              <w:pStyle w:val="Compact"/>
              <w:jc w:val="left"/>
            </w:pPr>
            <w:r>
              <w:t xml:space="preserve">Todos los roles</w:t>
            </w:r>
          </w:p>
        </w:tc>
        <w:tc>
          <w:tcPr/>
          <w:p>
            <w:pPr>
              <w:pStyle w:val="Compact"/>
              <w:jc w:val="left"/>
            </w:pPr>
            <w:r>
              <w:t xml:space="preserve">RF-USR-05</w:t>
            </w:r>
          </w:p>
        </w:tc>
      </w:tr>
      <w:tr>
        <w:tc>
          <w:tcPr/>
          <w:p>
            <w:pPr>
              <w:pStyle w:val="Compact"/>
              <w:jc w:val="left"/>
            </w:pPr>
            <w:r>
              <w:t xml:space="preserve">CU-02</w:t>
            </w:r>
          </w:p>
        </w:tc>
        <w:tc>
          <w:tcPr/>
          <w:p>
            <w:pPr>
              <w:pStyle w:val="Compact"/>
              <w:jc w:val="left"/>
            </w:pPr>
            <w:r>
              <w:t xml:space="preserve">Recuperar contraseña</w:t>
            </w:r>
          </w:p>
        </w:tc>
        <w:tc>
          <w:tcPr/>
          <w:p>
            <w:pPr>
              <w:pStyle w:val="Compact"/>
              <w:jc w:val="left"/>
            </w:pPr>
            <w:r>
              <w:t xml:space="preserve">Todos los roles</w:t>
            </w:r>
          </w:p>
        </w:tc>
        <w:tc>
          <w:tcPr/>
          <w:p>
            <w:pPr>
              <w:pStyle w:val="Compact"/>
              <w:jc w:val="left"/>
            </w:pPr>
            <w:r>
              <w:t xml:space="preserve">RF-USR-06</w:t>
            </w:r>
          </w:p>
        </w:tc>
      </w:tr>
      <w:tr>
        <w:tc>
          <w:tcPr/>
          <w:p>
            <w:pPr>
              <w:pStyle w:val="Compact"/>
              <w:jc w:val="left"/>
            </w:pPr>
            <w:r>
              <w:t xml:space="preserve">CU-03</w:t>
            </w:r>
          </w:p>
        </w:tc>
        <w:tc>
          <w:tcPr/>
          <w:p>
            <w:pPr>
              <w:pStyle w:val="Compact"/>
              <w:jc w:val="left"/>
            </w:pPr>
            <w:r>
              <w:t xml:space="preserve">Gestionar usuarios y roles</w:t>
            </w:r>
          </w:p>
        </w:tc>
        <w:tc>
          <w:tcPr/>
          <w:p>
            <w:pPr>
              <w:pStyle w:val="Compact"/>
              <w:jc w:val="left"/>
            </w:pPr>
            <w:r>
              <w:t xml:space="preserve">Administrador</w:t>
            </w:r>
          </w:p>
        </w:tc>
        <w:tc>
          <w:tcPr/>
          <w:p>
            <w:pPr>
              <w:pStyle w:val="Compact"/>
              <w:jc w:val="left"/>
            </w:pPr>
            <w:r>
              <w:t xml:space="preserve">RF-USR-01 a 04</w:t>
            </w:r>
          </w:p>
        </w:tc>
      </w:tr>
      <w:tr>
        <w:tc>
          <w:tcPr/>
          <w:p>
            <w:pPr>
              <w:pStyle w:val="Compact"/>
              <w:jc w:val="left"/>
            </w:pPr>
            <w:r>
              <w:t xml:space="preserve">CU-04</w:t>
            </w:r>
          </w:p>
        </w:tc>
        <w:tc>
          <w:tcPr/>
          <w:p>
            <w:pPr>
              <w:pStyle w:val="Compact"/>
              <w:jc w:val="left"/>
            </w:pPr>
            <w:r>
              <w:t xml:space="preserve">Gestionar estándares y cursos</w:t>
            </w:r>
          </w:p>
        </w:tc>
        <w:tc>
          <w:tcPr/>
          <w:p>
            <w:pPr>
              <w:pStyle w:val="Compact"/>
              <w:jc w:val="left"/>
            </w:pPr>
            <w:r>
              <w:t xml:space="preserve">Coordinador</w:t>
            </w:r>
          </w:p>
        </w:tc>
        <w:tc>
          <w:tcPr/>
          <w:p>
            <w:pPr>
              <w:pStyle w:val="Compact"/>
              <w:jc w:val="left"/>
            </w:pPr>
            <w:r>
              <w:t xml:space="preserve">RF-CUR-01</w:t>
            </w:r>
          </w:p>
        </w:tc>
      </w:tr>
      <w:tr>
        <w:tc>
          <w:tcPr/>
          <w:p>
            <w:pPr>
              <w:pStyle w:val="Compact"/>
              <w:jc w:val="left"/>
            </w:pPr>
            <w:r>
              <w:t xml:space="preserve">CU-05</w:t>
            </w:r>
          </w:p>
        </w:tc>
        <w:tc>
          <w:tcPr/>
          <w:p>
            <w:pPr>
              <w:pStyle w:val="Compact"/>
              <w:jc w:val="left"/>
            </w:pPr>
            <w:r>
              <w:t xml:space="preserve">Gestionar grupos y sesiones</w:t>
            </w:r>
          </w:p>
        </w:tc>
        <w:tc>
          <w:tcPr/>
          <w:p>
            <w:pPr>
              <w:pStyle w:val="Compact"/>
              <w:jc w:val="left"/>
            </w:pPr>
            <w:r>
              <w:t xml:space="preserve">Coordinador</w:t>
            </w:r>
          </w:p>
        </w:tc>
        <w:tc>
          <w:tcPr/>
          <w:p>
            <w:pPr>
              <w:pStyle w:val="Compact"/>
              <w:jc w:val="left"/>
            </w:pPr>
            <w:r>
              <w:t xml:space="preserve">RF-CUR-02, 05, 08, 09</w:t>
            </w:r>
          </w:p>
        </w:tc>
      </w:tr>
      <w:tr>
        <w:tc>
          <w:tcPr/>
          <w:p>
            <w:pPr>
              <w:pStyle w:val="Compact"/>
              <w:jc w:val="left"/>
            </w:pPr>
            <w:r>
              <w:t xml:space="preserve">CU-06</w:t>
            </w:r>
          </w:p>
        </w:tc>
        <w:tc>
          <w:tcPr/>
          <w:p>
            <w:pPr>
              <w:pStyle w:val="Compact"/>
              <w:jc w:val="left"/>
            </w:pPr>
            <w:r>
              <w:t xml:space="preserve">Autorregistrarse</w:t>
            </w:r>
          </w:p>
        </w:tc>
        <w:tc>
          <w:tcPr/>
          <w:p>
            <w:pPr>
              <w:pStyle w:val="Compact"/>
              <w:jc w:val="left"/>
            </w:pPr>
            <w:r>
              <w:t xml:space="preserve">Participante (sin sesión)</w:t>
            </w:r>
          </w:p>
        </w:tc>
        <w:tc>
          <w:tcPr/>
          <w:p>
            <w:pPr>
              <w:pStyle w:val="Compact"/>
              <w:jc w:val="left"/>
            </w:pPr>
            <w:r>
              <w:t xml:space="preserve">RF-CUR-03</w:t>
            </w:r>
          </w:p>
        </w:tc>
      </w:tr>
      <w:tr>
        <w:tc>
          <w:tcPr/>
          <w:p>
            <w:pPr>
              <w:pStyle w:val="Compact"/>
              <w:jc w:val="left"/>
            </w:pPr>
            <w:r>
              <w:t xml:space="preserve">CU-07</w:t>
            </w:r>
          </w:p>
        </w:tc>
        <w:tc>
          <w:tcPr/>
          <w:p>
            <w:pPr>
              <w:pStyle w:val="Compact"/>
              <w:jc w:val="left"/>
            </w:pPr>
            <w:r>
              <w:t xml:space="preserve">Inscribir participante en un grupo</w:t>
            </w:r>
          </w:p>
        </w:tc>
        <w:tc>
          <w:tcPr/>
          <w:p>
            <w:pPr>
              <w:pStyle w:val="Compact"/>
              <w:jc w:val="left"/>
            </w:pPr>
            <w:r>
              <w:t xml:space="preserve">Coordinador</w:t>
            </w:r>
          </w:p>
        </w:tc>
        <w:tc>
          <w:tcPr/>
          <w:p>
            <w:pPr>
              <w:pStyle w:val="Compact"/>
              <w:jc w:val="left"/>
            </w:pPr>
            <w:r>
              <w:t xml:space="preserve">RF-CUR-04</w:t>
            </w:r>
          </w:p>
        </w:tc>
      </w:tr>
      <w:tr>
        <w:tc>
          <w:tcPr/>
          <w:p>
            <w:pPr>
              <w:pStyle w:val="Compact"/>
              <w:jc w:val="left"/>
            </w:pPr>
            <w:r>
              <w:t xml:space="preserve">CU-08</w:t>
            </w:r>
          </w:p>
        </w:tc>
        <w:tc>
          <w:tcPr/>
          <w:p>
            <w:pPr>
              <w:pStyle w:val="Compact"/>
              <w:jc w:val="left"/>
            </w:pPr>
            <w:r>
              <w:t xml:space="preserve">Validar cupo del grupo</w:t>
            </w:r>
          </w:p>
        </w:tc>
        <w:tc>
          <w:tcPr/>
          <w:p>
            <w:pPr>
              <w:pStyle w:val="Compact"/>
              <w:jc w:val="left"/>
            </w:pPr>
            <w:r>
              <w:t xml:space="preserve">(interno)</w:t>
            </w:r>
          </w:p>
        </w:tc>
        <w:tc>
          <w:tcPr/>
          <w:p>
            <w:pPr>
              <w:pStyle w:val="Compact"/>
              <w:jc w:val="left"/>
            </w:pPr>
            <w:r>
              <w:t xml:space="preserve">RF-CUR-04</w:t>
            </w:r>
          </w:p>
        </w:tc>
      </w:tr>
      <w:tr>
        <w:tc>
          <w:tcPr/>
          <w:p>
            <w:pPr>
              <w:pStyle w:val="Compact"/>
              <w:jc w:val="left"/>
            </w:pPr>
            <w:r>
              <w:t xml:space="preserve">CU-09</w:t>
            </w:r>
          </w:p>
        </w:tc>
        <w:tc>
          <w:tcPr/>
          <w:p>
            <w:pPr>
              <w:pStyle w:val="Compact"/>
              <w:jc w:val="left"/>
            </w:pPr>
            <w:r>
              <w:t xml:space="preserve">Registrar asistencia</w:t>
            </w:r>
          </w:p>
        </w:tc>
        <w:tc>
          <w:tcPr/>
          <w:p>
            <w:pPr>
              <w:pStyle w:val="Compact"/>
              <w:jc w:val="left"/>
            </w:pPr>
            <w:r>
              <w:t xml:space="preserve">Instructor</w:t>
            </w:r>
          </w:p>
        </w:tc>
        <w:tc>
          <w:tcPr/>
          <w:p>
            <w:pPr>
              <w:pStyle w:val="Compact"/>
              <w:jc w:val="left"/>
            </w:pPr>
            <w:r>
              <w:t xml:space="preserve">RF-CUR-10</w:t>
            </w:r>
          </w:p>
        </w:tc>
      </w:tr>
      <w:tr>
        <w:tc>
          <w:tcPr/>
          <w:p>
            <w:pPr>
              <w:pStyle w:val="Compact"/>
              <w:jc w:val="left"/>
            </w:pPr>
            <w:r>
              <w:t xml:space="preserve">CU-10</w:t>
            </w:r>
          </w:p>
        </w:tc>
        <w:tc>
          <w:tcPr/>
          <w:p>
            <w:pPr>
              <w:pStyle w:val="Compact"/>
              <w:jc w:val="left"/>
            </w:pPr>
            <w:r>
              <w:t xml:space="preserve">Consultar historial de participante, instructor o evaluador</w:t>
            </w:r>
          </w:p>
        </w:tc>
        <w:tc>
          <w:tcPr/>
          <w:p>
            <w:pPr>
              <w:pStyle w:val="Compact"/>
              <w:jc w:val="left"/>
            </w:pPr>
            <w:r>
              <w:t xml:space="preserve">Coordinador</w:t>
            </w:r>
          </w:p>
        </w:tc>
        <w:tc>
          <w:tcPr/>
          <w:p>
            <w:pPr>
              <w:pStyle w:val="Compact"/>
              <w:jc w:val="left"/>
            </w:pPr>
            <w:r>
              <w:t xml:space="preserve">RF-CUR-06, 07</w:t>
            </w:r>
          </w:p>
        </w:tc>
      </w:tr>
      <w:tr>
        <w:tc>
          <w:tcPr/>
          <w:p>
            <w:pPr>
              <w:pStyle w:val="Compact"/>
              <w:jc w:val="left"/>
            </w:pPr>
            <w:r>
              <w:t xml:space="preserve">CU-11</w:t>
            </w:r>
          </w:p>
        </w:tc>
        <w:tc>
          <w:tcPr/>
          <w:p>
            <w:pPr>
              <w:pStyle w:val="Compact"/>
              <w:jc w:val="left"/>
            </w:pPr>
            <w:r>
              <w:t xml:space="preserve">Consultar mi historial</w:t>
            </w:r>
          </w:p>
        </w:tc>
        <w:tc>
          <w:tcPr/>
          <w:p>
            <w:pPr>
              <w:pStyle w:val="Compact"/>
              <w:jc w:val="left"/>
            </w:pPr>
            <w:r>
              <w:t xml:space="preserve">Participante</w:t>
            </w:r>
          </w:p>
        </w:tc>
        <w:tc>
          <w:tcPr/>
          <w:p>
            <w:pPr>
              <w:pStyle w:val="Compact"/>
              <w:jc w:val="left"/>
            </w:pPr>
            <w:r>
              <w:t xml:space="preserve">RF-CUR-06, RF-EVA-05</w:t>
            </w:r>
          </w:p>
        </w:tc>
      </w:tr>
      <w:tr>
        <w:tc>
          <w:tcPr/>
          <w:p>
            <w:pPr>
              <w:pStyle w:val="Compact"/>
              <w:jc w:val="left"/>
            </w:pPr>
            <w:r>
              <w:t xml:space="preserve">CU-12</w:t>
            </w:r>
          </w:p>
        </w:tc>
        <w:tc>
          <w:tcPr/>
          <w:p>
            <w:pPr>
              <w:pStyle w:val="Compact"/>
              <w:jc w:val="left"/>
            </w:pPr>
            <w:r>
              <w:t xml:space="preserve">Gestionar materiales del curso</w:t>
            </w:r>
          </w:p>
        </w:tc>
        <w:tc>
          <w:tcPr/>
          <w:p>
            <w:pPr>
              <w:pStyle w:val="Compact"/>
              <w:jc w:val="left"/>
            </w:pPr>
            <w:r>
              <w:t xml:space="preserve">Instructor</w:t>
            </w:r>
          </w:p>
        </w:tc>
        <w:tc>
          <w:tcPr/>
          <w:p>
            <w:pPr>
              <w:pStyle w:val="Compact"/>
              <w:jc w:val="left"/>
            </w:pPr>
            <w:r>
              <w:t xml:space="preserve">RF-APR-01</w:t>
            </w:r>
          </w:p>
        </w:tc>
      </w:tr>
      <w:tr>
        <w:tc>
          <w:tcPr/>
          <w:p>
            <w:pPr>
              <w:pStyle w:val="Compact"/>
              <w:jc w:val="left"/>
            </w:pPr>
            <w:r>
              <w:t xml:space="preserve">CU-13</w:t>
            </w:r>
          </w:p>
        </w:tc>
        <w:tc>
          <w:tcPr/>
          <w:p>
            <w:pPr>
              <w:pStyle w:val="Compact"/>
              <w:jc w:val="left"/>
            </w:pPr>
            <w:r>
              <w:t xml:space="preserve">Consultar y descargar materiales</w:t>
            </w:r>
          </w:p>
        </w:tc>
        <w:tc>
          <w:tcPr/>
          <w:p>
            <w:pPr>
              <w:pStyle w:val="Compact"/>
              <w:jc w:val="left"/>
            </w:pPr>
            <w:r>
              <w:t xml:space="preserve">Participante</w:t>
            </w:r>
          </w:p>
        </w:tc>
        <w:tc>
          <w:tcPr/>
          <w:p>
            <w:pPr>
              <w:pStyle w:val="Compact"/>
              <w:jc w:val="left"/>
            </w:pPr>
            <w:r>
              <w:t xml:space="preserve">RF-APR-02, 03</w:t>
            </w:r>
          </w:p>
        </w:tc>
      </w:tr>
      <w:tr>
        <w:tc>
          <w:tcPr/>
          <w:p>
            <w:pPr>
              <w:pStyle w:val="Compact"/>
              <w:jc w:val="left"/>
            </w:pPr>
            <w:r>
              <w:t xml:space="preserve">CU-14</w:t>
            </w:r>
          </w:p>
        </w:tc>
        <w:tc>
          <w:tcPr/>
          <w:p>
            <w:pPr>
              <w:pStyle w:val="Compact"/>
              <w:jc w:val="left"/>
            </w:pPr>
            <w:r>
              <w:t xml:space="preserve">Gestionar instrumentos de evaluación</w:t>
            </w:r>
          </w:p>
        </w:tc>
        <w:tc>
          <w:tcPr/>
          <w:p>
            <w:pPr>
              <w:pStyle w:val="Compact"/>
              <w:jc w:val="left"/>
            </w:pPr>
            <w:r>
              <w:t xml:space="preserve">Coordinador</w:t>
            </w:r>
          </w:p>
        </w:tc>
        <w:tc>
          <w:tcPr/>
          <w:p>
            <w:pPr>
              <w:pStyle w:val="Compact"/>
              <w:jc w:val="left"/>
            </w:pPr>
            <w:r>
              <w:t xml:space="preserve">RF-EVA-01, 04</w:t>
            </w:r>
          </w:p>
        </w:tc>
      </w:tr>
      <w:tr>
        <w:tc>
          <w:tcPr/>
          <w:p>
            <w:pPr>
              <w:pStyle w:val="Compact"/>
              <w:jc w:val="left"/>
            </w:pPr>
            <w:r>
              <w:t xml:space="preserve">CU-15</w:t>
            </w:r>
          </w:p>
        </w:tc>
        <w:tc>
          <w:tcPr/>
          <w:p>
            <w:pPr>
              <w:pStyle w:val="Compact"/>
              <w:jc w:val="left"/>
            </w:pPr>
            <w:r>
              <w:t xml:space="preserve">Registrar resultado y dictamen</w:t>
            </w:r>
          </w:p>
        </w:tc>
        <w:tc>
          <w:tcPr/>
          <w:p>
            <w:pPr>
              <w:pStyle w:val="Compact"/>
              <w:jc w:val="left"/>
            </w:pPr>
            <w:r>
              <w:t xml:space="preserve">Evaluador</w:t>
            </w:r>
          </w:p>
        </w:tc>
        <w:tc>
          <w:tcPr/>
          <w:p>
            <w:pPr>
              <w:pStyle w:val="Compact"/>
              <w:jc w:val="left"/>
            </w:pPr>
            <w:r>
              <w:t xml:space="preserve">RF-EVA-02, 03, 04</w:t>
            </w:r>
          </w:p>
        </w:tc>
      </w:tr>
      <w:tr>
        <w:tc>
          <w:tcPr/>
          <w:p>
            <w:pPr>
              <w:pStyle w:val="Compact"/>
              <w:jc w:val="left"/>
            </w:pPr>
            <w:r>
              <w:t xml:space="preserve">CU-16</w:t>
            </w:r>
          </w:p>
        </w:tc>
        <w:tc>
          <w:tcPr/>
          <w:p>
            <w:pPr>
              <w:pStyle w:val="Compact"/>
              <w:jc w:val="left"/>
            </w:pPr>
            <w:r>
              <w:t xml:space="preserve">Registrar evidencias</w:t>
            </w:r>
          </w:p>
        </w:tc>
        <w:tc>
          <w:tcPr/>
          <w:p>
            <w:pPr>
              <w:pStyle w:val="Compact"/>
              <w:jc w:val="left"/>
            </w:pPr>
            <w:r>
              <w:t xml:space="preserve">Evaluador</w:t>
            </w:r>
          </w:p>
        </w:tc>
        <w:tc>
          <w:tcPr/>
          <w:p>
            <w:pPr>
              <w:pStyle w:val="Compact"/>
              <w:jc w:val="left"/>
            </w:pPr>
            <w:r>
              <w:t xml:space="preserve">RF-EVA-02</w:t>
            </w:r>
          </w:p>
        </w:tc>
      </w:tr>
      <w:tr>
        <w:tc>
          <w:tcPr/>
          <w:p>
            <w:pPr>
              <w:pStyle w:val="Compact"/>
              <w:jc w:val="left"/>
            </w:pPr>
            <w:r>
              <w:t xml:space="preserve">CU-17</w:t>
            </w:r>
          </w:p>
        </w:tc>
        <w:tc>
          <w:tcPr/>
          <w:p>
            <w:pPr>
              <w:pStyle w:val="Compact"/>
              <w:jc w:val="left"/>
            </w:pPr>
            <w:r>
              <w:t xml:space="preserve">Gestionar trámite de certificación</w:t>
            </w:r>
          </w:p>
        </w:tc>
        <w:tc>
          <w:tcPr/>
          <w:p>
            <w:pPr>
              <w:pStyle w:val="Compact"/>
              <w:jc w:val="left"/>
            </w:pPr>
            <w:r>
              <w:t xml:space="preserve">Coordinador</w:t>
            </w:r>
          </w:p>
        </w:tc>
        <w:tc>
          <w:tcPr/>
          <w:p>
            <w:pPr>
              <w:pStyle w:val="Compact"/>
              <w:jc w:val="left"/>
            </w:pPr>
            <w:r>
              <w:t xml:space="preserve">RF-CERT-01, 02, 05</w:t>
            </w:r>
          </w:p>
        </w:tc>
      </w:tr>
      <w:tr>
        <w:tc>
          <w:tcPr/>
          <w:p>
            <w:pPr>
              <w:pStyle w:val="Compact"/>
              <w:jc w:val="left"/>
            </w:pPr>
            <w:r>
              <w:t xml:space="preserve">CU-18</w:t>
            </w:r>
          </w:p>
        </w:tc>
        <w:tc>
          <w:tcPr/>
          <w:p>
            <w:pPr>
              <w:pStyle w:val="Compact"/>
              <w:jc w:val="left"/>
            </w:pPr>
            <w:r>
              <w:t xml:space="preserve">Resguardar documento oficial de CONOCER</w:t>
            </w:r>
          </w:p>
        </w:tc>
        <w:tc>
          <w:tcPr/>
          <w:p>
            <w:pPr>
              <w:pStyle w:val="Compact"/>
              <w:jc w:val="left"/>
            </w:pPr>
            <w:r>
              <w:t xml:space="preserve">Coordinador</w:t>
            </w:r>
          </w:p>
        </w:tc>
        <w:tc>
          <w:tcPr/>
          <w:p>
            <w:pPr>
              <w:pStyle w:val="Compact"/>
              <w:jc w:val="left"/>
            </w:pPr>
            <w:r>
              <w:t xml:space="preserve">RF-CERT-03, 04</w:t>
            </w:r>
          </w:p>
        </w:tc>
      </w:tr>
      <w:tr>
        <w:tc>
          <w:tcPr/>
          <w:p>
            <w:pPr>
              <w:pStyle w:val="Compact"/>
              <w:jc w:val="left"/>
            </w:pPr>
            <w:r>
              <w:t xml:space="preserve">CU-19</w:t>
            </w:r>
          </w:p>
        </w:tc>
        <w:tc>
          <w:tcPr/>
          <w:p>
            <w:pPr>
              <w:pStyle w:val="Compact"/>
              <w:jc w:val="left"/>
            </w:pPr>
            <w:r>
              <w:t xml:space="preserve">Descargar mis documentos de certificación</w:t>
            </w:r>
          </w:p>
        </w:tc>
        <w:tc>
          <w:tcPr/>
          <w:p>
            <w:pPr>
              <w:pStyle w:val="Compact"/>
              <w:jc w:val="left"/>
            </w:pPr>
            <w:r>
              <w:t xml:space="preserve">Participante</w:t>
            </w:r>
          </w:p>
        </w:tc>
        <w:tc>
          <w:tcPr/>
          <w:p>
            <w:pPr>
              <w:pStyle w:val="Compact"/>
              <w:jc w:val="left"/>
            </w:pPr>
            <w:r>
              <w:t xml:space="preserve">RF-CERT-06</w:t>
            </w:r>
          </w:p>
        </w:tc>
      </w:tr>
      <w:tr>
        <w:tc>
          <w:tcPr/>
          <w:p>
            <w:pPr>
              <w:pStyle w:val="Compact"/>
              <w:jc w:val="left"/>
            </w:pPr>
            <w:r>
              <w:t xml:space="preserve">CU-20</w:t>
            </w:r>
          </w:p>
        </w:tc>
        <w:tc>
          <w:tcPr/>
          <w:p>
            <w:pPr>
              <w:pStyle w:val="Compact"/>
              <w:jc w:val="left"/>
            </w:pPr>
            <w:r>
              <w:t xml:space="preserve">Verificar certificación por folio</w:t>
            </w:r>
          </w:p>
        </w:tc>
        <w:tc>
          <w:tcPr/>
          <w:p>
            <w:pPr>
              <w:pStyle w:val="Compact"/>
              <w:jc w:val="left"/>
            </w:pPr>
            <w:r>
              <w:t xml:space="preserve">Todos los roles</w:t>
            </w:r>
          </w:p>
        </w:tc>
        <w:tc>
          <w:tcPr/>
          <w:p>
            <w:pPr>
              <w:pStyle w:val="Compact"/>
              <w:jc w:val="left"/>
            </w:pPr>
            <w:r>
              <w:t xml:space="preserve">RF-CERT-07</w:t>
            </w:r>
          </w:p>
        </w:tc>
      </w:tr>
      <w:tr>
        <w:tc>
          <w:tcPr/>
          <w:p>
            <w:pPr>
              <w:pStyle w:val="Compact"/>
              <w:jc w:val="left"/>
            </w:pPr>
            <w:r>
              <w:t xml:space="preserve">CU-21</w:t>
            </w:r>
          </w:p>
        </w:tc>
        <w:tc>
          <w:tcPr/>
          <w:p>
            <w:pPr>
              <w:pStyle w:val="Compact"/>
              <w:jc w:val="left"/>
            </w:pPr>
            <w:r>
              <w:t xml:space="preserve">Enviar notificación por correo</w:t>
            </w:r>
          </w:p>
        </w:tc>
        <w:tc>
          <w:tcPr/>
          <w:p>
            <w:pPr>
              <w:pStyle w:val="Compact"/>
              <w:jc w:val="left"/>
            </w:pPr>
            <w:r>
              <w:t xml:space="preserve">Servidor de correo</w:t>
            </w:r>
          </w:p>
        </w:tc>
        <w:tc>
          <w:tcPr/>
          <w:p>
            <w:pPr>
              <w:pStyle w:val="Compact"/>
              <w:jc w:val="left"/>
            </w:pPr>
            <w:r>
              <w:t xml:space="preserve">RF-NOT-01</w:t>
            </w:r>
          </w:p>
        </w:tc>
      </w:tr>
      <w:tr>
        <w:tc>
          <w:tcPr/>
          <w:p>
            <w:pPr>
              <w:pStyle w:val="Compact"/>
              <w:jc w:val="left"/>
            </w:pPr>
            <w:r>
              <w:t xml:space="preserve">CU-22</w:t>
            </w:r>
          </w:p>
        </w:tc>
        <w:tc>
          <w:tcPr/>
          <w:p>
            <w:pPr>
              <w:pStyle w:val="Compact"/>
              <w:jc w:val="left"/>
            </w:pPr>
            <w:r>
              <w:t xml:space="preserve">Generar y exportar reportes</w:t>
            </w:r>
          </w:p>
        </w:tc>
        <w:tc>
          <w:tcPr/>
          <w:p>
            <w:pPr>
              <w:pStyle w:val="Compact"/>
              <w:jc w:val="left"/>
            </w:pPr>
            <w:r>
              <w:t xml:space="preserve">Coordinador</w:t>
            </w:r>
          </w:p>
        </w:tc>
        <w:tc>
          <w:tcPr/>
          <w:p>
            <w:pPr>
              <w:pStyle w:val="Compact"/>
              <w:jc w:val="left"/>
            </w:pPr>
            <w:r>
              <w:t xml:space="preserve">RF-REP-01, 02</w:t>
            </w:r>
          </w:p>
        </w:tc>
      </w:tr>
    </w:tbl>
    <w:p>
      <w:pPr>
        <w:pStyle w:val="CaptionedFigure"/>
      </w:pPr>
      <w:r>
        <w:drawing>
          <wp:inline>
            <wp:extent cx="5039999" cy="2620799"/>
            <wp:effectExtent b="0" l="0" r="0" t="0"/>
            <wp:docPr descr="Figura 7. Casos de uso del módulo Usuarios" title="" id="57" name="Picture"/>
            <a:graphic>
              <a:graphicData uri="http://schemas.openxmlformats.org/drawingml/2006/picture">
                <pic:pic>
                  <pic:nvPicPr>
                    <pic:cNvPr descr="img/fig7-cu-usuarios.png" id="58" name="Picture"/>
                    <pic:cNvPicPr>
                      <a:picLocks noChangeArrowheads="1" noChangeAspect="1"/>
                    </pic:cNvPicPr>
                  </pic:nvPicPr>
                  <pic:blipFill>
                    <a:blip r:embed="rId56"/>
                    <a:stretch>
                      <a:fillRect/>
                    </a:stretch>
                  </pic:blipFill>
                  <pic:spPr bwMode="auto">
                    <a:xfrm>
                      <a:off x="0" y="0"/>
                      <a:ext cx="5039999" cy="2620799"/>
                    </a:xfrm>
                    <a:prstGeom prst="rect">
                      <a:avLst/>
                    </a:prstGeom>
                    <a:noFill/>
                    <a:ln w="9525">
                      <a:noFill/>
                      <a:headEnd/>
                      <a:tailEnd/>
                    </a:ln>
                  </pic:spPr>
                </pic:pic>
              </a:graphicData>
            </a:graphic>
          </wp:inline>
        </w:drawing>
      </w:r>
    </w:p>
    <w:p>
      <w:pPr>
        <w:pStyle w:val="ImageCaption"/>
      </w:pPr>
      <w:r>
        <w:t xml:space="preserve">Figura 7. Casos de uso del módulo Usuarios</w:t>
      </w:r>
    </w:p>
    <w:p>
      <w:pPr>
        <w:pStyle w:val="CaptionedFigure"/>
      </w:pPr>
      <w:r>
        <w:drawing>
          <wp:inline>
            <wp:extent cx="5579999" cy="4077692"/>
            <wp:effectExtent b="0" l="0" r="0" t="0"/>
            <wp:docPr descr="Figura 8. Casos de uso del módulo Cursos, grupos y participantes" title="" id="60" name="Picture"/>
            <a:graphic>
              <a:graphicData uri="http://schemas.openxmlformats.org/drawingml/2006/picture">
                <pic:pic>
                  <pic:nvPicPr>
                    <pic:cNvPr descr="img/fig8-cu-cursos.png" id="61" name="Picture"/>
                    <pic:cNvPicPr>
                      <a:picLocks noChangeArrowheads="1" noChangeAspect="1"/>
                    </pic:cNvPicPr>
                  </pic:nvPicPr>
                  <pic:blipFill>
                    <a:blip r:embed="rId59"/>
                    <a:stretch>
                      <a:fillRect/>
                    </a:stretch>
                  </pic:blipFill>
                  <pic:spPr bwMode="auto">
                    <a:xfrm>
                      <a:off x="0" y="0"/>
                      <a:ext cx="5579999" cy="4077692"/>
                    </a:xfrm>
                    <a:prstGeom prst="rect">
                      <a:avLst/>
                    </a:prstGeom>
                    <a:noFill/>
                    <a:ln w="9525">
                      <a:noFill/>
                      <a:headEnd/>
                      <a:tailEnd/>
                    </a:ln>
                  </pic:spPr>
                </pic:pic>
              </a:graphicData>
            </a:graphic>
          </wp:inline>
        </w:drawing>
      </w:r>
    </w:p>
    <w:p>
      <w:pPr>
        <w:pStyle w:val="ImageCaption"/>
      </w:pPr>
      <w:r>
        <w:t xml:space="preserve">Figura 8. Casos de uso del módulo Cursos, grupos y participantes</w:t>
      </w:r>
    </w:p>
    <w:p>
      <w:pPr>
        <w:pStyle w:val="CaptionedFigure"/>
      </w:pPr>
      <w:r>
        <w:drawing>
          <wp:inline>
            <wp:extent cx="5039999" cy="1814399"/>
            <wp:effectExtent b="0" l="0" r="0" t="0"/>
            <wp:docPr descr="Figura 9. Casos de uso del módulo Aprendizaje" title="" id="63" name="Picture"/>
            <a:graphic>
              <a:graphicData uri="http://schemas.openxmlformats.org/drawingml/2006/picture">
                <pic:pic>
                  <pic:nvPicPr>
                    <pic:cNvPr descr="img/fig9-cu-aprendizaje.png" id="64" name="Picture"/>
                    <pic:cNvPicPr>
                      <a:picLocks noChangeArrowheads="1" noChangeAspect="1"/>
                    </pic:cNvPicPr>
                  </pic:nvPicPr>
                  <pic:blipFill>
                    <a:blip r:embed="rId62"/>
                    <a:stretch>
                      <a:fillRect/>
                    </a:stretch>
                  </pic:blipFill>
                  <pic:spPr bwMode="auto">
                    <a:xfrm>
                      <a:off x="0" y="0"/>
                      <a:ext cx="5039999" cy="1814399"/>
                    </a:xfrm>
                    <a:prstGeom prst="rect">
                      <a:avLst/>
                    </a:prstGeom>
                    <a:noFill/>
                    <a:ln w="9525">
                      <a:noFill/>
                      <a:headEnd/>
                      <a:tailEnd/>
                    </a:ln>
                  </pic:spPr>
                </pic:pic>
              </a:graphicData>
            </a:graphic>
          </wp:inline>
        </w:drawing>
      </w:r>
    </w:p>
    <w:p>
      <w:pPr>
        <w:pStyle w:val="ImageCaption"/>
      </w:pPr>
      <w:r>
        <w:t xml:space="preserve">Figura 9. Casos de uso del módulo Aprendizaje</w:t>
      </w:r>
    </w:p>
    <w:p>
      <w:pPr>
        <w:pStyle w:val="CaptionedFigure"/>
      </w:pPr>
      <w:r>
        <w:drawing>
          <wp:inline>
            <wp:extent cx="5039999" cy="2419199"/>
            <wp:effectExtent b="0" l="0" r="0" t="0"/>
            <wp:docPr descr="Figura 10. Casos de uso del módulo Evaluaciones" title="" id="66" name="Picture"/>
            <a:graphic>
              <a:graphicData uri="http://schemas.openxmlformats.org/drawingml/2006/picture">
                <pic:pic>
                  <pic:nvPicPr>
                    <pic:cNvPr descr="img/fig10-cu-evaluaciones.png" id="67" name="Picture"/>
                    <pic:cNvPicPr>
                      <a:picLocks noChangeArrowheads="1" noChangeAspect="1"/>
                    </pic:cNvPicPr>
                  </pic:nvPicPr>
                  <pic:blipFill>
                    <a:blip r:embed="rId65"/>
                    <a:stretch>
                      <a:fillRect/>
                    </a:stretch>
                  </pic:blipFill>
                  <pic:spPr bwMode="auto">
                    <a:xfrm>
                      <a:off x="0" y="0"/>
                      <a:ext cx="5039999" cy="2419199"/>
                    </a:xfrm>
                    <a:prstGeom prst="rect">
                      <a:avLst/>
                    </a:prstGeom>
                    <a:noFill/>
                    <a:ln w="9525">
                      <a:noFill/>
                      <a:headEnd/>
                      <a:tailEnd/>
                    </a:ln>
                  </pic:spPr>
                </pic:pic>
              </a:graphicData>
            </a:graphic>
          </wp:inline>
        </w:drawing>
      </w:r>
    </w:p>
    <w:p>
      <w:pPr>
        <w:pStyle w:val="ImageCaption"/>
      </w:pPr>
      <w:r>
        <w:t xml:space="preserve">Figura 10. Casos de uso del módulo Evaluaciones</w:t>
      </w:r>
    </w:p>
    <w:p>
      <w:pPr>
        <w:pStyle w:val="CaptionedFigure"/>
      </w:pPr>
      <w:r>
        <w:drawing>
          <wp:inline>
            <wp:extent cx="5579999" cy="3380192"/>
            <wp:effectExtent b="0" l="0" r="0" t="0"/>
            <wp:docPr descr="Figura 11. Casos de uso de los módulos Certificaciones y Reportes" title="" id="69" name="Picture"/>
            <a:graphic>
              <a:graphicData uri="http://schemas.openxmlformats.org/drawingml/2006/picture">
                <pic:pic>
                  <pic:nvPicPr>
                    <pic:cNvPr descr="img/fig11-cu-certificaciones-reportes.png" id="70" name="Picture"/>
                    <pic:cNvPicPr>
                      <a:picLocks noChangeArrowheads="1" noChangeAspect="1"/>
                    </pic:cNvPicPr>
                  </pic:nvPicPr>
                  <pic:blipFill>
                    <a:blip r:embed="rId68"/>
                    <a:stretch>
                      <a:fillRect/>
                    </a:stretch>
                  </pic:blipFill>
                  <pic:spPr bwMode="auto">
                    <a:xfrm>
                      <a:off x="0" y="0"/>
                      <a:ext cx="5579999" cy="3380192"/>
                    </a:xfrm>
                    <a:prstGeom prst="rect">
                      <a:avLst/>
                    </a:prstGeom>
                    <a:noFill/>
                    <a:ln w="9525">
                      <a:noFill/>
                      <a:headEnd/>
                      <a:tailEnd/>
                    </a:ln>
                  </pic:spPr>
                </pic:pic>
              </a:graphicData>
            </a:graphic>
          </wp:inline>
        </w:drawing>
      </w:r>
    </w:p>
    <w:p>
      <w:pPr>
        <w:pStyle w:val="ImageCaption"/>
      </w:pPr>
      <w:r>
        <w:t xml:space="preserve">Figura 11. Casos de uso de los módulos Certificaciones y Reportes</w:t>
      </w:r>
    </w:p>
    <w:bookmarkEnd w:id="71"/>
    <w:bookmarkStart w:id="78" w:name="diagrama-de-clases"/>
    <w:p>
      <w:pPr>
        <w:pStyle w:val="Ttulo2"/>
      </w:pPr>
      <w:r>
        <w:t xml:space="preserve">Diagrama de clases</w:t>
      </w:r>
    </w:p>
    <w:p>
      <w:pPr>
        <w:pStyle w:val="FirstParagraph"/>
      </w:pPr>
      <w:r>
        <w:t xml:space="preserve">El diagrama de clases describe los objetos del dominio: sus atributos, sus operaciones y sus asociaciones. A diferencia del modelo relacional, no muestra identificadores ni llaves foráneas (se representan con las líneas de asociación) y sí muestra el comportamiento: por ejemplo,</w:t>
      </w:r>
      <w:r>
        <w:t xml:space="preserve"> </w:t>
      </w:r>
      <w:r>
        <w:rPr>
          <w:rStyle w:val="VerbatimChar"/>
        </w:rPr>
        <w:t xml:space="preserve">Grupo</w:t>
      </w:r>
      <w:r>
        <w:t xml:space="preserve"> </w:t>
      </w:r>
      <w:r>
        <w:t xml:space="preserve">tiene</w:t>
      </w:r>
      <w:r>
        <w:t xml:space="preserve"> </w:t>
      </w:r>
      <w:r>
        <w:rPr>
          <w:rStyle w:val="VerbatimChar"/>
        </w:rPr>
        <w:t xml:space="preserve">tieneCupo()</w:t>
      </w:r>
      <w:r>
        <w:t xml:space="preserve">,</w:t>
      </w:r>
      <w:r>
        <w:t xml:space="preserve"> </w:t>
      </w:r>
      <w:r>
        <w:rPr>
          <w:rStyle w:val="VerbatimChar"/>
        </w:rPr>
        <w:t xml:space="preserve">asignarInstructor()</w:t>
      </w:r>
      <w:r>
        <w:t xml:space="preserve"> </w:t>
      </w:r>
      <w:r>
        <w:t xml:space="preserve">y</w:t>
      </w:r>
      <w:r>
        <w:t xml:space="preserve"> </w:t>
      </w:r>
      <w:r>
        <w:rPr>
          <w:rStyle w:val="VerbatimChar"/>
        </w:rPr>
        <w:t xml:space="preserve">cambiarEstatus()</w:t>
      </w:r>
      <w:r>
        <w:t xml:space="preserve">. Cada clase corresponderá a un modelo de Sequelize, y sus operaciones las implementará la capa de servicios.</w:t>
      </w:r>
    </w:p>
    <w:p>
      <w:pPr>
        <w:pStyle w:val="CaptionedFigure"/>
      </w:pPr>
      <w:r>
        <w:drawing>
          <wp:inline>
            <wp:extent cx="5939999" cy="2695531"/>
            <wp:effectExtent b="0" l="0" r="0" t="0"/>
            <wp:docPr descr="Figura 12. Diagrama de clases del dominio" title="" id="73" name="Picture"/>
            <a:graphic>
              <a:graphicData uri="http://schemas.openxmlformats.org/drawingml/2006/picture">
                <pic:pic>
                  <pic:nvPicPr>
                    <pic:cNvPr descr="img/fig12-diagrama-clases.png" id="74" name="Picture"/>
                    <pic:cNvPicPr>
                      <a:picLocks noChangeArrowheads="1" noChangeAspect="1"/>
                    </pic:cNvPicPr>
                  </pic:nvPicPr>
                  <pic:blipFill>
                    <a:blip r:embed="rId72"/>
                    <a:stretch>
                      <a:fillRect/>
                    </a:stretch>
                  </pic:blipFill>
                  <pic:spPr bwMode="auto">
                    <a:xfrm>
                      <a:off x="0" y="0"/>
                      <a:ext cx="5939999" cy="2695531"/>
                    </a:xfrm>
                    <a:prstGeom prst="rect">
                      <a:avLst/>
                    </a:prstGeom>
                    <a:noFill/>
                    <a:ln w="9525">
                      <a:noFill/>
                      <a:headEnd/>
                      <a:tailEnd/>
                    </a:ln>
                  </pic:spPr>
                </pic:pic>
              </a:graphicData>
            </a:graphic>
          </wp:inline>
        </w:drawing>
      </w:r>
    </w:p>
    <w:p>
      <w:pPr>
        <w:pStyle w:val="ImageCaption"/>
      </w:pPr>
      <w:r>
        <w:t xml:space="preserve">Figura 12. Diagrama de clases del dominio</w:t>
      </w:r>
    </w:p>
    <w:p>
      <w:pPr>
        <w:numPr>
          <w:ilvl w:val="0"/>
          <w:numId w:val="1003"/>
        </w:numPr>
        <w:pStyle w:val="Compact"/>
      </w:pPr>
      <w:r>
        <w:rPr>
          <w:bCs/>
          <w:b/>
        </w:rPr>
        <w:t xml:space="preserve">20 clases</w:t>
      </w:r>
      <w:r>
        <w:t xml:space="preserve"> </w:t>
      </w:r>
      <w:r>
        <w:t xml:space="preserve">coloreadas por módulo, con las mismas asociaciones y multiplicidades del diseño lógico.</w:t>
      </w:r>
    </w:p>
    <w:p>
      <w:pPr>
        <w:numPr>
          <w:ilvl w:val="0"/>
          <w:numId w:val="1003"/>
        </w:numPr>
        <w:pStyle w:val="Compact"/>
      </w:pPr>
      <w:r>
        <w:rPr>
          <w:bCs/>
          <w:b/>
        </w:rPr>
        <w:t xml:space="preserve">Composiciones:</w:t>
      </w:r>
      <w:r>
        <w:t xml:space="preserve"> </w:t>
      </w:r>
      <w:r>
        <w:t xml:space="preserve">Usuario con TokenRecuperacion, TramiteCertificacion con HistorialTramite e IntentoEvaluacion con Evidencia; la parte no tiene sentido sin el todo.</w:t>
      </w:r>
    </w:p>
    <w:p>
      <w:pPr>
        <w:numPr>
          <w:ilvl w:val="0"/>
          <w:numId w:val="1003"/>
        </w:numPr>
        <w:pStyle w:val="Compact"/>
      </w:pPr>
      <w:r>
        <w:rPr>
          <w:bCs/>
          <w:b/>
        </w:rPr>
        <w:t xml:space="preserve">Atributo derivado</w:t>
      </w:r>
      <w:r>
        <w:t xml:space="preserve"> </w:t>
      </w:r>
      <w:r>
        <w:rPr>
          <w:rStyle w:val="VerbatimChar"/>
        </w:rPr>
        <w:t xml:space="preserve">/cupoDisponible</w:t>
      </w:r>
      <w:r>
        <w:t xml:space="preserve"> </w:t>
      </w:r>
      <w:r>
        <w:t xml:space="preserve">en Grupo: se calcula, no se guarda.</w:t>
      </w:r>
    </w:p>
    <w:p>
      <w:pPr>
        <w:numPr>
          <w:ilvl w:val="0"/>
          <w:numId w:val="1003"/>
        </w:numPr>
        <w:pStyle w:val="Compact"/>
      </w:pPr>
      <w:r>
        <w:rPr>
          <w:bCs/>
          <w:b/>
        </w:rPr>
        <w:t xml:space="preserve">10 enumeraciones</w:t>
      </w:r>
      <w:r>
        <w:t xml:space="preserve"> </w:t>
      </w:r>
      <w:r>
        <w:t xml:space="preserve">que coinciden exactamente con los ENUM de la base de datos.</w:t>
      </w:r>
    </w:p>
    <w:p>
      <w:pPr>
        <w:pStyle w:val="CaptionedFigure"/>
      </w:pPr>
      <w:r>
        <w:drawing>
          <wp:inline>
            <wp:extent cx="5759999" cy="1978262"/>
            <wp:effectExtent b="0" l="0" r="0" t="0"/>
            <wp:docPr descr="Figura 13. Enumeraciones del modelo" title="" id="76" name="Picture"/>
            <a:graphic>
              <a:graphicData uri="http://schemas.openxmlformats.org/drawingml/2006/picture">
                <pic:pic>
                  <pic:nvPicPr>
                    <pic:cNvPr descr="img/fig13-enumeraciones.png" id="77" name="Picture"/>
                    <pic:cNvPicPr>
                      <a:picLocks noChangeArrowheads="1" noChangeAspect="1"/>
                    </pic:cNvPicPr>
                  </pic:nvPicPr>
                  <pic:blipFill>
                    <a:blip r:embed="rId75"/>
                    <a:stretch>
                      <a:fillRect/>
                    </a:stretch>
                  </pic:blipFill>
                  <pic:spPr bwMode="auto">
                    <a:xfrm>
                      <a:off x="0" y="0"/>
                      <a:ext cx="5759999" cy="1978262"/>
                    </a:xfrm>
                    <a:prstGeom prst="rect">
                      <a:avLst/>
                    </a:prstGeom>
                    <a:noFill/>
                    <a:ln w="9525">
                      <a:noFill/>
                      <a:headEnd/>
                      <a:tailEnd/>
                    </a:ln>
                  </pic:spPr>
                </pic:pic>
              </a:graphicData>
            </a:graphic>
          </wp:inline>
        </w:drawing>
      </w:r>
    </w:p>
    <w:p>
      <w:pPr>
        <w:pStyle w:val="ImageCaption"/>
      </w:pPr>
      <w:r>
        <w:t xml:space="preserve">Figura 13. Enumeraciones del modelo</w:t>
      </w:r>
    </w:p>
    <w:bookmarkEnd w:id="78"/>
    <w:bookmarkStart w:id="85" w:name="diagramas-de-secuencia"/>
    <w:p>
      <w:pPr>
        <w:pStyle w:val="Ttulo2"/>
      </w:pPr>
      <w:r>
        <w:t xml:space="preserve">Diagramas de secuencia</w:t>
      </w:r>
    </w:p>
    <w:p>
      <w:pPr>
        <w:pStyle w:val="FirstParagraph"/>
      </w:pPr>
      <w:r>
        <w:t xml:space="preserve">Se modelaron los dos procesos con más reglas de negocio, recorriendo las capas de la arquitectura: Frontend → Rutas y middlewares → Controlador → Servicio → Modelos → MySQL.</w:t>
      </w:r>
    </w:p>
    <w:p>
      <w:pPr>
        <w:pStyle w:val="CaptionedFigure"/>
      </w:pPr>
      <w:r>
        <w:drawing>
          <wp:inline>
            <wp:extent cx="5939999" cy="4933220"/>
            <wp:effectExtent b="0" l="0" r="0" t="0"/>
            <wp:docPr descr="Figura 14. Secuencia: inscribir participante con control de cupo (CU-07 + CU-08)" title="" id="80" name="Picture"/>
            <a:graphic>
              <a:graphicData uri="http://schemas.openxmlformats.org/drawingml/2006/picture">
                <pic:pic>
                  <pic:nvPicPr>
                    <pic:cNvPr descr="img/fig14-secuencia-inscripcion.png" id="81" name="Picture"/>
                    <pic:cNvPicPr>
                      <a:picLocks noChangeArrowheads="1" noChangeAspect="1"/>
                    </pic:cNvPicPr>
                  </pic:nvPicPr>
                  <pic:blipFill>
                    <a:blip r:embed="rId79"/>
                    <a:stretch>
                      <a:fillRect/>
                    </a:stretch>
                  </pic:blipFill>
                  <pic:spPr bwMode="auto">
                    <a:xfrm>
                      <a:off x="0" y="0"/>
                      <a:ext cx="5939999" cy="4933220"/>
                    </a:xfrm>
                    <a:prstGeom prst="rect">
                      <a:avLst/>
                    </a:prstGeom>
                    <a:noFill/>
                    <a:ln w="9525">
                      <a:noFill/>
                      <a:headEnd/>
                      <a:tailEnd/>
                    </a:ln>
                  </pic:spPr>
                </pic:pic>
              </a:graphicData>
            </a:graphic>
          </wp:inline>
        </w:drawing>
      </w:r>
    </w:p>
    <w:p>
      <w:pPr>
        <w:pStyle w:val="ImageCaption"/>
      </w:pPr>
      <w:r>
        <w:t xml:space="preserve">Figura 14. Secuencia: inscribir participante con control de cupo (CU-07 + CU-08)</w:t>
      </w:r>
    </w:p>
    <w:p>
      <w:pPr>
        <w:pStyle w:val="BodyText"/>
      </w:pPr>
      <w:r>
        <w:t xml:space="preserve">En la inscripción, los middlewares rechazan peticiones sin token (401) o sin permiso (403); el servicio consulta el grupo con</w:t>
      </w:r>
      <w:r>
        <w:t xml:space="preserve"> </w:t>
      </w:r>
      <w:r>
        <w:rPr>
          <w:rStyle w:val="VerbatimChar"/>
        </w:rPr>
        <w:t xml:space="preserve">SELECT … FOR UPDATE</w:t>
      </w:r>
      <w:r>
        <w:t xml:space="preserve"> </w:t>
      </w:r>
      <w:r>
        <w:t xml:space="preserve">dentro de una transacción para que dos coordinadores no ocupen el mismo último lugar, compara el cupo con las inscripciones activas y, si no hay lugar, responde 409. Una inscripción duplicada la rechaza la restricción</w:t>
      </w:r>
      <w:r>
        <w:t xml:space="preserve"> </w:t>
      </w:r>
      <w:r>
        <w:rPr>
          <w:rStyle w:val="VerbatimChar"/>
        </w:rPr>
        <w:t xml:space="preserve">uq_inscripcion</w:t>
      </w:r>
      <w:r>
        <w:t xml:space="preserve">.</w:t>
      </w:r>
    </w:p>
    <w:p>
      <w:pPr>
        <w:pStyle w:val="CaptionedFigure"/>
      </w:pPr>
      <w:r>
        <w:drawing>
          <wp:inline>
            <wp:extent cx="5939999" cy="6417321"/>
            <wp:effectExtent b="0" l="0" r="0" t="0"/>
            <wp:docPr descr="Figura 15. Secuencia: trámite de certificación (CU-17 + CU-18 + CU-21)" title="" id="83" name="Picture"/>
            <a:graphic>
              <a:graphicData uri="http://schemas.openxmlformats.org/drawingml/2006/picture">
                <pic:pic>
                  <pic:nvPicPr>
                    <pic:cNvPr descr="img/fig15-secuencia-tramite.png" id="84" name="Picture"/>
                    <pic:cNvPicPr>
                      <a:picLocks noChangeArrowheads="1" noChangeAspect="1"/>
                    </pic:cNvPicPr>
                  </pic:nvPicPr>
                  <pic:blipFill>
                    <a:blip r:embed="rId82"/>
                    <a:stretch>
                      <a:fillRect/>
                    </a:stretch>
                  </pic:blipFill>
                  <pic:spPr bwMode="auto">
                    <a:xfrm>
                      <a:off x="0" y="0"/>
                      <a:ext cx="5939999" cy="6417321"/>
                    </a:xfrm>
                    <a:prstGeom prst="rect">
                      <a:avLst/>
                    </a:prstGeom>
                    <a:noFill/>
                    <a:ln w="9525">
                      <a:noFill/>
                      <a:headEnd/>
                      <a:tailEnd/>
                    </a:ln>
                  </pic:spPr>
                </pic:pic>
              </a:graphicData>
            </a:graphic>
          </wp:inline>
        </w:drawing>
      </w:r>
    </w:p>
    <w:p>
      <w:pPr>
        <w:pStyle w:val="ImageCaption"/>
      </w:pPr>
      <w:r>
        <w:t xml:space="preserve">Figura 15. Secuencia: trámite de certificación (CU-17 + CU-18 + CU-21)</w:t>
      </w:r>
    </w:p>
    <w:p>
      <w:pPr>
        <w:pStyle w:val="BodyText"/>
      </w:pPr>
      <w:r>
        <w:t xml:space="preserve">En el trámite, solo un intento con dictamen</w:t>
      </w:r>
      <w:r>
        <w:t xml:space="preserve"> </w:t>
      </w:r>
      <w:r>
        <w:t xml:space="preserve">“</w:t>
      </w:r>
      <w:r>
        <w:t xml:space="preserve">competente</w:t>
      </w:r>
      <w:r>
        <w:t xml:space="preserve">”</w:t>
      </w:r>
      <w:r>
        <w:t xml:space="preserve"> </w:t>
      </w:r>
      <w:r>
        <w:t xml:space="preserve">origina la solicitud; cada cambio de estatus sigue el orden solicitado → pagado → en trámite → emitido y se guarda junto con su historial en la misma transacción. Al resguardar el PDF de CONOCER el trámite pasa a</w:t>
      </w:r>
      <w:r>
        <w:t xml:space="preserve"> </w:t>
      </w:r>
      <w:r>
        <w:t xml:space="preserve">“</w:t>
      </w:r>
      <w:r>
        <w:t xml:space="preserve">emitido</w:t>
      </w:r>
      <w:r>
        <w:t xml:space="preserve">”</w:t>
      </w:r>
      <w:r>
        <w:t xml:space="preserve"> </w:t>
      </w:r>
      <w:r>
        <w:t xml:space="preserve">y, después de confirmar la transacción, se envía el correo al participante: si el servidor de correo falla, el certificado no se pierde.</w:t>
      </w:r>
    </w:p>
    <w:bookmarkEnd w:id="85"/>
    <w:bookmarkEnd w:id="86"/>
    <w:bookmarkStart w:id="138" w:name="prototipos-de-interfaz"/>
    <w:p>
      <w:pPr>
        <w:pStyle w:val="Ttulo1"/>
      </w:pPr>
      <w:r>
        <w:t xml:space="preserve">6. Prototipos de interfaz</w:t>
      </w:r>
    </w:p>
    <w:bookmarkStart w:id="87" w:name="principios-de-diseño"/>
    <w:p>
      <w:pPr>
        <w:pStyle w:val="Ttulo2"/>
      </w:pPr>
      <w:r>
        <w:t xml:space="preserve">Principios de diseño</w:t>
      </w:r>
    </w:p>
    <w:p>
      <w:pPr>
        <w:pStyle w:val="FirstParagraph"/>
      </w:pPr>
      <w:r>
        <w:t xml:space="preserve">La interfaz se diseñó para ser</w:t>
      </w:r>
      <w:r>
        <w:t xml:space="preserve"> </w:t>
      </w:r>
      <w:r>
        <w:rPr>
          <w:bCs/>
          <w:b/>
        </w:rPr>
        <w:t xml:space="preserve">amigable, fácil de entender y no saturada</w:t>
      </w:r>
      <w:r>
        <w:t xml:space="preserve">: una tarea por pantalla, un solo botón principal, menú según el rol, máximo tres niveles de navegación (menú → lista → detalle), formularios largos por pasos, tablas cortas con buscador, estatus siempre con color y texto, y mensajes en lenguaje claro. En la reunión del 15 de octubre de 2026 el asesor externo dio libertad al residente en el diseño, apegado a la identidad de CINDEC.</w:t>
      </w:r>
    </w:p>
    <w:bookmarkEnd w:id="87"/>
    <w:bookmarkStart w:id="91" w:name="inventario-de-pantallas-y-navegación"/>
    <w:p>
      <w:pPr>
        <w:pStyle w:val="Ttulo2"/>
      </w:pPr>
      <w:r>
        <w:t xml:space="preserve">Inventario de pantallas y navegación</w:t>
      </w:r>
    </w:p>
    <w:p>
      <w:pPr>
        <w:pStyle w:val="FirstParagraph"/>
      </w:pPr>
      <w:r>
        <w:t xml:space="preserve">Se identificaron</w:t>
      </w:r>
      <w:r>
        <w:t xml:space="preserve"> </w:t>
      </w:r>
      <w:r>
        <w:rPr>
          <w:bCs/>
          <w:b/>
        </w:rPr>
        <w:t xml:space="preserve">25 pantallas</w:t>
      </w:r>
      <w:r>
        <w:t xml:space="preserve"> </w:t>
      </w:r>
      <w:r>
        <w:t xml:space="preserve">que cubren los 22 casos de uso; diez de ellas, que representan a los cinco roles y a todos los tipos de pantalla, se dibujaron como prototipo. El mapa de navegación muestra el menú de cada rol: el Administrador ve lo mismo que el Coordinador más la gestión de usuarios, y</w:t>
      </w:r>
      <w:r>
        <w:t xml:space="preserve"> </w:t>
      </w:r>
      <w:r>
        <w:t xml:space="preserve">“</w:t>
      </w:r>
      <w:r>
        <w:t xml:space="preserve">Verificar folio</w:t>
      </w:r>
      <w:r>
        <w:t xml:space="preserve">”</w:t>
      </w:r>
      <w:r>
        <w:t xml:space="preserve"> </w:t>
      </w:r>
      <w:r>
        <w:t xml:space="preserve">aparece en todos los menús.</w:t>
      </w:r>
    </w:p>
    <w:p>
      <w:pPr>
        <w:pStyle w:val="CaptionedFigure"/>
      </w:pPr>
      <w:r>
        <w:drawing>
          <wp:inline>
            <wp:extent cx="5939999" cy="4143512"/>
            <wp:effectExtent b="0" l="0" r="0" t="0"/>
            <wp:docPr descr="Figura 16. Mapa de navegación por rol" title="" id="89" name="Picture"/>
            <a:graphic>
              <a:graphicData uri="http://schemas.openxmlformats.org/drawingml/2006/picture">
                <pic:pic>
                  <pic:nvPicPr>
                    <pic:cNvPr descr="img/fig16-mapa-navegacion.png" id="90" name="Picture"/>
                    <pic:cNvPicPr>
                      <a:picLocks noChangeArrowheads="1" noChangeAspect="1"/>
                    </pic:cNvPicPr>
                  </pic:nvPicPr>
                  <pic:blipFill>
                    <a:blip r:embed="rId88"/>
                    <a:stretch>
                      <a:fillRect/>
                    </a:stretch>
                  </pic:blipFill>
                  <pic:spPr bwMode="auto">
                    <a:xfrm>
                      <a:off x="0" y="0"/>
                      <a:ext cx="5939999" cy="4143512"/>
                    </a:xfrm>
                    <a:prstGeom prst="rect">
                      <a:avLst/>
                    </a:prstGeom>
                    <a:noFill/>
                    <a:ln w="9525">
                      <a:noFill/>
                      <a:headEnd/>
                      <a:tailEnd/>
                    </a:ln>
                  </pic:spPr>
                </pic:pic>
              </a:graphicData>
            </a:graphic>
          </wp:inline>
        </w:drawing>
      </w:r>
    </w:p>
    <w:p>
      <w:pPr>
        <w:pStyle w:val="ImageCaption"/>
      </w:pPr>
      <w:r>
        <w:t xml:space="preserve">Figura 16. Mapa de navegación por rol</w:t>
      </w:r>
    </w:p>
    <w:bookmarkEnd w:id="91"/>
    <w:bookmarkStart w:id="95" w:name="guía-de-estilo"/>
    <w:p>
      <w:pPr>
        <w:pStyle w:val="Ttulo2"/>
      </w:pPr>
      <w:r>
        <w:t xml:space="preserve">Guía de estilo</w:t>
      </w:r>
    </w:p>
    <w:p>
      <w:pPr>
        <w:pStyle w:val="FirstParagraph"/>
      </w:pPr>
      <w:r>
        <w:t xml:space="preserve">La guía de estilo toma la identidad de CINDEC: el azul de las letras del logotipo (</w:t>
      </w:r>
      <w:r>
        <w:rPr>
          <w:rStyle w:val="VerbatimChar"/>
        </w:rPr>
        <w:t xml:space="preserve">#02258B</w:t>
      </w:r>
      <w:r>
        <w:t xml:space="preserve">) es el único color fuerte; los tonos del engrane (</w:t>
      </w:r>
      <w:r>
        <w:rPr>
          <w:rStyle w:val="VerbatimChar"/>
        </w:rPr>
        <w:t xml:space="preserve">#AED4FB</w:t>
      </w:r>
      <w:r>
        <w:t xml:space="preserve"> </w:t>
      </w:r>
      <w:r>
        <w:t xml:space="preserve">y</w:t>
      </w:r>
      <w:r>
        <w:t xml:space="preserve"> </w:t>
      </w:r>
      <w:r>
        <w:rPr>
          <w:rStyle w:val="VerbatimChar"/>
        </w:rPr>
        <w:t xml:space="preserve">#E7E6EB</w:t>
      </w:r>
      <w:r>
        <w:t xml:space="preserve">) y el gris del texto (</w:t>
      </w:r>
      <w:r>
        <w:rPr>
          <w:rStyle w:val="VerbatimChar"/>
        </w:rPr>
        <w:t xml:space="preserve">#4C4B55</w:t>
      </w:r>
      <w:r>
        <w:t xml:space="preserve">) completan la base, con tonos de apoyo y colores de estatus (verde, ámbar y rojo) que cumplen el contraste mínimo de 4.5:1 de WCAG 2.1. La tipografía es</w:t>
      </w:r>
      <w:r>
        <w:t xml:space="preserve"> </w:t>
      </w:r>
      <w:r>
        <w:rPr>
          <w:bCs/>
          <w:b/>
        </w:rPr>
        <w:t xml:space="preserve">Nunito Sans</w:t>
      </w:r>
      <w:r>
        <w:t xml:space="preserve">, el sistema se dirige al usuario</w:t>
      </w:r>
      <w:r>
        <w:t xml:space="preserve"> </w:t>
      </w:r>
      <w:r>
        <w:rPr>
          <w:bCs/>
          <w:b/>
        </w:rPr>
        <w:t xml:space="preserve">de usted</w:t>
      </w:r>
      <w:r>
        <w:t xml:space="preserve"> </w:t>
      </w:r>
      <w:r>
        <w:t xml:space="preserve">y</w:t>
      </w:r>
      <w:r>
        <w:t xml:space="preserve"> </w:t>
      </w:r>
      <w:r>
        <w:t xml:space="preserve">“</w:t>
      </w:r>
      <w:r>
        <w:t xml:space="preserve">Todavía no competente</w:t>
      </w:r>
      <w:r>
        <w:t xml:space="preserve">”</w:t>
      </w:r>
      <w:r>
        <w:t xml:space="preserve"> </w:t>
      </w:r>
      <w:r>
        <w:t xml:space="preserve">se muestra en ámbar, porque la persona puede volver a evaluarse. Se definieron nueve componentes reutilizables: botón, campo de texto, etiqueta de estatus, aviso, tabla, menú lateral, pasos, ventana emergente y estado vacío.</w:t>
      </w:r>
    </w:p>
    <w:p>
      <w:pPr>
        <w:pStyle w:val="CaptionedFigure"/>
      </w:pPr>
      <w:r>
        <w:drawing>
          <wp:inline>
            <wp:extent cx="5399999" cy="9868499"/>
            <wp:effectExtent b="0" l="0" r="0" t="0"/>
            <wp:docPr descr="Figura 17. Guía de estilo: colores, tipografía y componentes" title="" id="93" name="Picture"/>
            <a:graphic>
              <a:graphicData uri="http://schemas.openxmlformats.org/drawingml/2006/picture">
                <pic:pic>
                  <pic:nvPicPr>
                    <pic:cNvPr descr="img/fig17-guia-de-estilo.png" id="94" name="Picture"/>
                    <pic:cNvPicPr>
                      <a:picLocks noChangeArrowheads="1" noChangeAspect="1"/>
                    </pic:cNvPicPr>
                  </pic:nvPicPr>
                  <pic:blipFill>
                    <a:blip r:embed="rId92"/>
                    <a:stretch>
                      <a:fillRect/>
                    </a:stretch>
                  </pic:blipFill>
                  <pic:spPr bwMode="auto">
                    <a:xfrm>
                      <a:off x="0" y="0"/>
                      <a:ext cx="5399999" cy="9868499"/>
                    </a:xfrm>
                    <a:prstGeom prst="rect">
                      <a:avLst/>
                    </a:prstGeom>
                    <a:noFill/>
                    <a:ln w="9525">
                      <a:noFill/>
                      <a:headEnd/>
                      <a:tailEnd/>
                    </a:ln>
                  </pic:spPr>
                </pic:pic>
              </a:graphicData>
            </a:graphic>
          </wp:inline>
        </w:drawing>
      </w:r>
    </w:p>
    <w:p>
      <w:pPr>
        <w:pStyle w:val="ImageCaption"/>
      </w:pPr>
      <w:r>
        <w:t xml:space="preserve">Figura 17. Guía de estilo: colores, tipografía y componentes</w:t>
      </w:r>
    </w:p>
    <w:bookmarkEnd w:id="95"/>
    <w:bookmarkStart w:id="99" w:name="wireframes"/>
    <w:p>
      <w:pPr>
        <w:pStyle w:val="Ttulo2"/>
      </w:pPr>
      <w:r>
        <w:t xml:space="preserve">Wireframes</w:t>
      </w:r>
    </w:p>
    <w:p>
      <w:pPr>
        <w:pStyle w:val="FirstParagraph"/>
      </w:pPr>
      <w:r>
        <w:t xml:space="preserve">Primero se dibujaron las diez pantallas en gris, sin colores, para acordar qué contiene cada una y en qué orden. En esta etapa se decidió, por ejemplo, dividir el autorregistro en tres pasos (Cuenta, Datos personales y Documentos).</w:t>
      </w:r>
    </w:p>
    <w:p>
      <w:pPr>
        <w:pStyle w:val="CaptionedFigure"/>
      </w:pPr>
      <w:r>
        <w:drawing>
          <wp:inline>
            <wp:extent cx="5399999" cy="4556249"/>
            <wp:effectExtent b="0" l="0" r="0" t="0"/>
            <wp:docPr descr="Figura 18. Wireframe del detalle del grupo" title="" id="97" name="Picture"/>
            <a:graphic>
              <a:graphicData uri="http://schemas.openxmlformats.org/drawingml/2006/picture">
                <pic:pic>
                  <pic:nvPicPr>
                    <pic:cNvPr descr="img/P08-detalle-grupo.png" id="98" name="Picture"/>
                    <pic:cNvPicPr>
                      <a:picLocks noChangeArrowheads="1" noChangeAspect="1"/>
                    </pic:cNvPicPr>
                  </pic:nvPicPr>
                  <pic:blipFill>
                    <a:blip r:embed="rId96"/>
                    <a:stretch>
                      <a:fillRect/>
                    </a:stretch>
                  </pic:blipFill>
                  <pic:spPr bwMode="auto">
                    <a:xfrm>
                      <a:off x="0" y="0"/>
                      <a:ext cx="5399999" cy="4556249"/>
                    </a:xfrm>
                    <a:prstGeom prst="rect">
                      <a:avLst/>
                    </a:prstGeom>
                    <a:noFill/>
                    <a:ln w="9525">
                      <a:noFill/>
                      <a:headEnd/>
                      <a:tailEnd/>
                    </a:ln>
                  </pic:spPr>
                </pic:pic>
              </a:graphicData>
            </a:graphic>
          </wp:inline>
        </w:drawing>
      </w:r>
    </w:p>
    <w:p>
      <w:pPr>
        <w:pStyle w:val="ImageCaption"/>
      </w:pPr>
      <w:r>
        <w:t xml:space="preserve">Figura 18. Wireframe del detalle del grupo</w:t>
      </w:r>
    </w:p>
    <w:bookmarkEnd w:id="99"/>
    <w:bookmarkStart w:id="133" w:name="mockups"/>
    <w:p>
      <w:pPr>
        <w:pStyle w:val="Ttulo2"/>
      </w:pPr>
      <w:r>
        <w:t xml:space="preserve">Mockups</w:t>
      </w:r>
    </w:p>
    <w:p>
      <w:pPr>
        <w:pStyle w:val="FirstParagraph"/>
      </w:pPr>
      <w:r>
        <w:t xml:space="preserve">Los mockups aplican la guía de estilo a las mismas pantallas, con datos ficticios.</w:t>
      </w:r>
    </w:p>
    <w:p>
      <w:pPr>
        <w:pStyle w:val="CaptionedFigure"/>
      </w:pPr>
      <w:r>
        <w:drawing>
          <wp:inline>
            <wp:extent cx="5039999" cy="3149999"/>
            <wp:effectExtent b="0" l="0" r="0" t="0"/>
            <wp:docPr descr="Figura 19. Inicio de sesión (CU-01)" title="" id="101" name="Picture"/>
            <a:graphic>
              <a:graphicData uri="http://schemas.openxmlformats.org/drawingml/2006/picture">
                <pic:pic>
                  <pic:nvPicPr>
                    <pic:cNvPr descr="img/M01-inicio-sesion.png" id="102" name="Picture"/>
                    <pic:cNvPicPr>
                      <a:picLocks noChangeArrowheads="1" noChangeAspect="1"/>
                    </pic:cNvPicPr>
                  </pic:nvPicPr>
                  <pic:blipFill>
                    <a:blip r:embed="rId100"/>
                    <a:stretch>
                      <a:fillRect/>
                    </a:stretch>
                  </pic:blipFill>
                  <pic:spPr bwMode="auto">
                    <a:xfrm>
                      <a:off x="0" y="0"/>
                      <a:ext cx="5039999" cy="3149999"/>
                    </a:xfrm>
                    <a:prstGeom prst="rect">
                      <a:avLst/>
                    </a:prstGeom>
                    <a:noFill/>
                    <a:ln w="9525">
                      <a:noFill/>
                      <a:headEnd/>
                      <a:tailEnd/>
                    </a:ln>
                  </pic:spPr>
                </pic:pic>
              </a:graphicData>
            </a:graphic>
          </wp:inline>
        </w:drawing>
      </w:r>
    </w:p>
    <w:p>
      <w:pPr>
        <w:pStyle w:val="ImageCaption"/>
      </w:pPr>
      <w:r>
        <w:t xml:space="preserve">Figura 19. Inicio de sesión (CU-01)</w:t>
      </w:r>
    </w:p>
    <w:p>
      <w:pPr>
        <w:pStyle w:val="CaptionedFigure"/>
      </w:pPr>
      <w:r>
        <w:drawing>
          <wp:inline>
            <wp:extent cx="5039999" cy="3543749"/>
            <wp:effectExtent b="0" l="0" r="0" t="0"/>
            <wp:docPr descr="Figura 20. Autorregistro, paso 2 (CU-06)" title="" id="104" name="Picture"/>
            <a:graphic>
              <a:graphicData uri="http://schemas.openxmlformats.org/drawingml/2006/picture">
                <pic:pic>
                  <pic:nvPicPr>
                    <pic:cNvPr descr="img/M03-autorregistro.png" id="105" name="Picture"/>
                    <pic:cNvPicPr>
                      <a:picLocks noChangeArrowheads="1" noChangeAspect="1"/>
                    </pic:cNvPicPr>
                  </pic:nvPicPr>
                  <pic:blipFill>
                    <a:blip r:embed="rId103"/>
                    <a:stretch>
                      <a:fillRect/>
                    </a:stretch>
                  </pic:blipFill>
                  <pic:spPr bwMode="auto">
                    <a:xfrm>
                      <a:off x="0" y="0"/>
                      <a:ext cx="5039999" cy="3543749"/>
                    </a:xfrm>
                    <a:prstGeom prst="rect">
                      <a:avLst/>
                    </a:prstGeom>
                    <a:noFill/>
                    <a:ln w="9525">
                      <a:noFill/>
                      <a:headEnd/>
                      <a:tailEnd/>
                    </a:ln>
                  </pic:spPr>
                </pic:pic>
              </a:graphicData>
            </a:graphic>
          </wp:inline>
        </w:drawing>
      </w:r>
    </w:p>
    <w:p>
      <w:pPr>
        <w:pStyle w:val="ImageCaption"/>
      </w:pPr>
      <w:r>
        <w:t xml:space="preserve">Figura 20. Autorregistro, paso 2 (CU-06)</w:t>
      </w:r>
    </w:p>
    <w:p>
      <w:pPr>
        <w:pStyle w:val="CaptionedFigure"/>
      </w:pPr>
      <w:r>
        <w:drawing>
          <wp:inline>
            <wp:extent cx="5399999" cy="3796874"/>
            <wp:effectExtent b="0" l="0" r="0" t="0"/>
            <wp:docPr descr="Figura 21. Panel de inicio del Coordinador" title="" id="107" name="Picture"/>
            <a:graphic>
              <a:graphicData uri="http://schemas.openxmlformats.org/drawingml/2006/picture">
                <pic:pic>
                  <pic:nvPicPr>
                    <pic:cNvPr descr="img/M04-panel.png" id="108" name="Picture"/>
                    <pic:cNvPicPr>
                      <a:picLocks noChangeArrowheads="1" noChangeAspect="1"/>
                    </pic:cNvPicPr>
                  </pic:nvPicPr>
                  <pic:blipFill>
                    <a:blip r:embed="rId106"/>
                    <a:stretch>
                      <a:fillRect/>
                    </a:stretch>
                  </pic:blipFill>
                  <pic:spPr bwMode="auto">
                    <a:xfrm>
                      <a:off x="0" y="0"/>
                      <a:ext cx="5399999" cy="3796874"/>
                    </a:xfrm>
                    <a:prstGeom prst="rect">
                      <a:avLst/>
                    </a:prstGeom>
                    <a:noFill/>
                    <a:ln w="9525">
                      <a:noFill/>
                      <a:headEnd/>
                      <a:tailEnd/>
                    </a:ln>
                  </pic:spPr>
                </pic:pic>
              </a:graphicData>
            </a:graphic>
          </wp:inline>
        </w:drawing>
      </w:r>
    </w:p>
    <w:p>
      <w:pPr>
        <w:pStyle w:val="ImageCaption"/>
      </w:pPr>
      <w:r>
        <w:t xml:space="preserve">Figura 21. Panel de inicio del Coordinador</w:t>
      </w:r>
    </w:p>
    <w:p>
      <w:pPr>
        <w:pStyle w:val="CaptionedFigure"/>
      </w:pPr>
      <w:r>
        <w:drawing>
          <wp:inline>
            <wp:extent cx="5399999" cy="5425312"/>
            <wp:effectExtent b="0" l="0" r="0" t="0"/>
            <wp:docPr descr="Figura 22. Detalle del grupo (CU-05)" title="" id="110" name="Picture"/>
            <a:graphic>
              <a:graphicData uri="http://schemas.openxmlformats.org/drawingml/2006/picture">
                <pic:pic>
                  <pic:nvPicPr>
                    <pic:cNvPr descr="img/M08-detalle-grupo.png" id="111" name="Picture"/>
                    <pic:cNvPicPr>
                      <a:picLocks noChangeArrowheads="1" noChangeAspect="1"/>
                    </pic:cNvPicPr>
                  </pic:nvPicPr>
                  <pic:blipFill>
                    <a:blip r:embed="rId109"/>
                    <a:stretch>
                      <a:fillRect/>
                    </a:stretch>
                  </pic:blipFill>
                  <pic:spPr bwMode="auto">
                    <a:xfrm>
                      <a:off x="0" y="0"/>
                      <a:ext cx="5399999" cy="5425312"/>
                    </a:xfrm>
                    <a:prstGeom prst="rect">
                      <a:avLst/>
                    </a:prstGeom>
                    <a:noFill/>
                    <a:ln w="9525">
                      <a:noFill/>
                      <a:headEnd/>
                      <a:tailEnd/>
                    </a:ln>
                  </pic:spPr>
                </pic:pic>
              </a:graphicData>
            </a:graphic>
          </wp:inline>
        </w:drawing>
      </w:r>
    </w:p>
    <w:p>
      <w:pPr>
        <w:pStyle w:val="ImageCaption"/>
      </w:pPr>
      <w:r>
        <w:t xml:space="preserve">Figura 22. Detalle del grupo (CU-05)</w:t>
      </w:r>
    </w:p>
    <w:p>
      <w:pPr>
        <w:pStyle w:val="CaptionedFigure"/>
      </w:pPr>
      <w:r>
        <w:drawing>
          <wp:inline>
            <wp:extent cx="5039999" cy="3149999"/>
            <wp:effectExtent b="0" l="0" r="0" t="0"/>
            <wp:docPr descr="Figura 23. Inscribir participante con cupo disponible (CU-07)" title="" id="113" name="Picture"/>
            <a:graphic>
              <a:graphicData uri="http://schemas.openxmlformats.org/drawingml/2006/picture">
                <pic:pic>
                  <pic:nvPicPr>
                    <pic:cNvPr descr="img/M09-inscribir.png" id="114" name="Picture"/>
                    <pic:cNvPicPr>
                      <a:picLocks noChangeArrowheads="1" noChangeAspect="1"/>
                    </pic:cNvPicPr>
                  </pic:nvPicPr>
                  <pic:blipFill>
                    <a:blip r:embed="rId112"/>
                    <a:stretch>
                      <a:fillRect/>
                    </a:stretch>
                  </pic:blipFill>
                  <pic:spPr bwMode="auto">
                    <a:xfrm>
                      <a:off x="0" y="0"/>
                      <a:ext cx="5039999" cy="3149999"/>
                    </a:xfrm>
                    <a:prstGeom prst="rect">
                      <a:avLst/>
                    </a:prstGeom>
                    <a:noFill/>
                    <a:ln w="9525">
                      <a:noFill/>
                      <a:headEnd/>
                      <a:tailEnd/>
                    </a:ln>
                  </pic:spPr>
                </pic:pic>
              </a:graphicData>
            </a:graphic>
          </wp:inline>
        </w:drawing>
      </w:r>
    </w:p>
    <w:p>
      <w:pPr>
        <w:pStyle w:val="ImageCaption"/>
      </w:pPr>
      <w:r>
        <w:t xml:space="preserve">Figura 23. Inscribir participante con cupo disponible (CU-07)</w:t>
      </w:r>
    </w:p>
    <w:p>
      <w:pPr>
        <w:pStyle w:val="CaptionedFigure"/>
      </w:pPr>
      <w:r>
        <w:drawing>
          <wp:inline>
            <wp:extent cx="5039999" cy="3149999"/>
            <wp:effectExtent b="0" l="0" r="0" t="0"/>
            <wp:docPr descr="Figura 24. Inscribir participante en un grupo sin cupo (CU-08)" title="" id="116" name="Picture"/>
            <a:graphic>
              <a:graphicData uri="http://schemas.openxmlformats.org/drawingml/2006/picture">
                <pic:pic>
                  <pic:nvPicPr>
                    <pic:cNvPr descr="img/M09b-sin-cupo.png" id="117" name="Picture"/>
                    <pic:cNvPicPr>
                      <a:picLocks noChangeArrowheads="1" noChangeAspect="1"/>
                    </pic:cNvPicPr>
                  </pic:nvPicPr>
                  <pic:blipFill>
                    <a:blip r:embed="rId115"/>
                    <a:stretch>
                      <a:fillRect/>
                    </a:stretch>
                  </pic:blipFill>
                  <pic:spPr bwMode="auto">
                    <a:xfrm>
                      <a:off x="0" y="0"/>
                      <a:ext cx="5039999" cy="3149999"/>
                    </a:xfrm>
                    <a:prstGeom prst="rect">
                      <a:avLst/>
                    </a:prstGeom>
                    <a:noFill/>
                    <a:ln w="9525">
                      <a:noFill/>
                      <a:headEnd/>
                      <a:tailEnd/>
                    </a:ln>
                  </pic:spPr>
                </pic:pic>
              </a:graphicData>
            </a:graphic>
          </wp:inline>
        </w:drawing>
      </w:r>
    </w:p>
    <w:p>
      <w:pPr>
        <w:pStyle w:val="ImageCaption"/>
      </w:pPr>
      <w:r>
        <w:t xml:space="preserve">Figura 24. Inscribir participante en un grupo sin cupo (CU-08)</w:t>
      </w:r>
    </w:p>
    <w:p>
      <w:pPr>
        <w:pStyle w:val="CaptionedFigure"/>
      </w:pPr>
      <w:r>
        <w:drawing>
          <wp:inline>
            <wp:extent cx="5399999" cy="4671562"/>
            <wp:effectExtent b="0" l="0" r="0" t="0"/>
            <wp:docPr descr="Figura 25. Detalle del trámite de certificación (CU-17, CU-18)" title="" id="119" name="Picture"/>
            <a:graphic>
              <a:graphicData uri="http://schemas.openxmlformats.org/drawingml/2006/picture">
                <pic:pic>
                  <pic:nvPicPr>
                    <pic:cNvPr descr="img/M14-detalle-tramite.png" id="120" name="Picture"/>
                    <pic:cNvPicPr>
                      <a:picLocks noChangeArrowheads="1" noChangeAspect="1"/>
                    </pic:cNvPicPr>
                  </pic:nvPicPr>
                  <pic:blipFill>
                    <a:blip r:embed="rId118"/>
                    <a:stretch>
                      <a:fillRect/>
                    </a:stretch>
                  </pic:blipFill>
                  <pic:spPr bwMode="auto">
                    <a:xfrm>
                      <a:off x="0" y="0"/>
                      <a:ext cx="5399999" cy="4671562"/>
                    </a:xfrm>
                    <a:prstGeom prst="rect">
                      <a:avLst/>
                    </a:prstGeom>
                    <a:noFill/>
                    <a:ln w="9525">
                      <a:noFill/>
                      <a:headEnd/>
                      <a:tailEnd/>
                    </a:ln>
                  </pic:spPr>
                </pic:pic>
              </a:graphicData>
            </a:graphic>
          </wp:inline>
        </w:drawing>
      </w:r>
    </w:p>
    <w:p>
      <w:pPr>
        <w:pStyle w:val="ImageCaption"/>
      </w:pPr>
      <w:r>
        <w:t xml:space="preserve">Figura 25. Detalle del trámite de certificación (CU-17, CU-18)</w:t>
      </w:r>
    </w:p>
    <w:p>
      <w:pPr>
        <w:pStyle w:val="CaptionedFigure"/>
      </w:pPr>
      <w:r>
        <w:drawing>
          <wp:inline>
            <wp:extent cx="5399999" cy="3796874"/>
            <wp:effectExtent b="0" l="0" r="0" t="0"/>
            <wp:docPr descr="Figura 26. Registro de asistencia del Instructor (CU-09)" title="" id="122" name="Picture"/>
            <a:graphic>
              <a:graphicData uri="http://schemas.openxmlformats.org/drawingml/2006/picture">
                <pic:pic>
                  <pic:nvPicPr>
                    <pic:cNvPr descr="img/M17-asistencia.png" id="123" name="Picture"/>
                    <pic:cNvPicPr>
                      <a:picLocks noChangeArrowheads="1" noChangeAspect="1"/>
                    </pic:cNvPicPr>
                  </pic:nvPicPr>
                  <pic:blipFill>
                    <a:blip r:embed="rId121"/>
                    <a:stretch>
                      <a:fillRect/>
                    </a:stretch>
                  </pic:blipFill>
                  <pic:spPr bwMode="auto">
                    <a:xfrm>
                      <a:off x="0" y="0"/>
                      <a:ext cx="5399999" cy="3796874"/>
                    </a:xfrm>
                    <a:prstGeom prst="rect">
                      <a:avLst/>
                    </a:prstGeom>
                    <a:noFill/>
                    <a:ln w="9525">
                      <a:noFill/>
                      <a:headEnd/>
                      <a:tailEnd/>
                    </a:ln>
                  </pic:spPr>
                </pic:pic>
              </a:graphicData>
            </a:graphic>
          </wp:inline>
        </w:drawing>
      </w:r>
    </w:p>
    <w:p>
      <w:pPr>
        <w:pStyle w:val="ImageCaption"/>
      </w:pPr>
      <w:r>
        <w:t xml:space="preserve">Figura 26. Registro de asistencia del Instructor (CU-09)</w:t>
      </w:r>
    </w:p>
    <w:p>
      <w:pPr>
        <w:pStyle w:val="CaptionedFigure"/>
      </w:pPr>
      <w:r>
        <w:drawing>
          <wp:inline>
            <wp:extent cx="5399999" cy="4716562"/>
            <wp:effectExtent b="0" l="0" r="0" t="0"/>
            <wp:docPr descr="Figura 27. Resultado y dictamen del Evaluador (CU-15, CU-16)" title="" id="125" name="Picture"/>
            <a:graphic>
              <a:graphicData uri="http://schemas.openxmlformats.org/drawingml/2006/picture">
                <pic:pic>
                  <pic:nvPicPr>
                    <pic:cNvPr descr="img/M20-resultado-dictamen.png" id="126" name="Picture"/>
                    <pic:cNvPicPr>
                      <a:picLocks noChangeArrowheads="1" noChangeAspect="1"/>
                    </pic:cNvPicPr>
                  </pic:nvPicPr>
                  <pic:blipFill>
                    <a:blip r:embed="rId124"/>
                    <a:stretch>
                      <a:fillRect/>
                    </a:stretch>
                  </pic:blipFill>
                  <pic:spPr bwMode="auto">
                    <a:xfrm>
                      <a:off x="0" y="0"/>
                      <a:ext cx="5399999" cy="4716562"/>
                    </a:xfrm>
                    <a:prstGeom prst="rect">
                      <a:avLst/>
                    </a:prstGeom>
                    <a:noFill/>
                    <a:ln w="9525">
                      <a:noFill/>
                      <a:headEnd/>
                      <a:tailEnd/>
                    </a:ln>
                  </pic:spPr>
                </pic:pic>
              </a:graphicData>
            </a:graphic>
          </wp:inline>
        </w:drawing>
      </w:r>
    </w:p>
    <w:p>
      <w:pPr>
        <w:pStyle w:val="ImageCaption"/>
      </w:pPr>
      <w:r>
        <w:t xml:space="preserve">Figura 27. Resultado y dictamen del Evaluador (CU-15, CU-16)</w:t>
      </w:r>
    </w:p>
    <w:p>
      <w:pPr>
        <w:pStyle w:val="CaptionedFigure"/>
      </w:pPr>
      <w:r>
        <w:drawing>
          <wp:inline>
            <wp:extent cx="5399999" cy="3628124"/>
            <wp:effectExtent b="0" l="0" r="0" t="0"/>
            <wp:docPr descr="Figura 28. Materiales del curso para el Participante (CU-13)" title="" id="128" name="Picture"/>
            <a:graphic>
              <a:graphicData uri="http://schemas.openxmlformats.org/drawingml/2006/picture">
                <pic:pic>
                  <pic:nvPicPr>
                    <pic:cNvPr descr="img/M22-materiales.png" id="129" name="Picture"/>
                    <pic:cNvPicPr>
                      <a:picLocks noChangeArrowheads="1" noChangeAspect="1"/>
                    </pic:cNvPicPr>
                  </pic:nvPicPr>
                  <pic:blipFill>
                    <a:blip r:embed="rId127"/>
                    <a:stretch>
                      <a:fillRect/>
                    </a:stretch>
                  </pic:blipFill>
                  <pic:spPr bwMode="auto">
                    <a:xfrm>
                      <a:off x="0" y="0"/>
                      <a:ext cx="5399999" cy="3628124"/>
                    </a:xfrm>
                    <a:prstGeom prst="rect">
                      <a:avLst/>
                    </a:prstGeom>
                    <a:noFill/>
                    <a:ln w="9525">
                      <a:noFill/>
                      <a:headEnd/>
                      <a:tailEnd/>
                    </a:ln>
                  </pic:spPr>
                </pic:pic>
              </a:graphicData>
            </a:graphic>
          </wp:inline>
        </w:drawing>
      </w:r>
    </w:p>
    <w:p>
      <w:pPr>
        <w:pStyle w:val="ImageCaption"/>
      </w:pPr>
      <w:r>
        <w:t xml:space="preserve">Figura 28. Materiales del curso para el Participante (CU-13)</w:t>
      </w:r>
    </w:p>
    <w:p>
      <w:pPr>
        <w:pStyle w:val="CaptionedFigure"/>
      </w:pPr>
      <w:r>
        <w:drawing>
          <wp:inline>
            <wp:extent cx="5399999" cy="3374999"/>
            <wp:effectExtent b="0" l="0" r="0" t="0"/>
            <wp:docPr descr="Figura 29. Verificar certificación por folio (CU-20)" title="" id="131" name="Picture"/>
            <a:graphic>
              <a:graphicData uri="http://schemas.openxmlformats.org/drawingml/2006/picture">
                <pic:pic>
                  <pic:nvPicPr>
                    <pic:cNvPr descr="img/M25-verificar-folio.png" id="132" name="Picture"/>
                    <pic:cNvPicPr>
                      <a:picLocks noChangeArrowheads="1" noChangeAspect="1"/>
                    </pic:cNvPicPr>
                  </pic:nvPicPr>
                  <pic:blipFill>
                    <a:blip r:embed="rId130"/>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Figura 29. Verificar certificación por folio (CU-20)</w:t>
      </w:r>
    </w:p>
    <w:bookmarkEnd w:id="133"/>
    <w:bookmarkStart w:id="137" w:name="el-sistema-en-el-navegador-del-celular"/>
    <w:p>
      <w:pPr>
        <w:pStyle w:val="Ttulo2"/>
      </w:pPr>
      <w:r>
        <w:t xml:space="preserve">El sistema en el navegador del celular</w:t>
      </w:r>
    </w:p>
    <w:p>
      <w:pPr>
        <w:pStyle w:val="FirstParagraph"/>
      </w:pPr>
      <w:r>
        <w:t xml:space="preserve">No se trata de una aplicación aparte: son las mismas pantallas abiertas en el navegador del teléfono y acomodadas a 390 píxeles de ancho (RNF-01, RNF-02). El menú lateral se convierte en un botón en la barra superior, las tablas en tarjetas apiladas, los campos ocupan todo el ancho y el botón principal queda al alcance del pulgar.</w:t>
      </w:r>
    </w:p>
    <w:p>
      <w:pPr>
        <w:pStyle w:val="CaptionedFigure"/>
      </w:pPr>
      <w:r>
        <w:drawing>
          <wp:inline>
            <wp:extent cx="5939999" cy="4124510"/>
            <wp:effectExtent b="0" l="0" r="0" t="0"/>
            <wp:docPr descr="Figura 30. Materiales, asistencia, verificación de folio y menú abierto en el celular" title="" id="135" name="Picture"/>
            <a:graphic>
              <a:graphicData uri="http://schemas.openxmlformats.org/drawingml/2006/picture">
                <pic:pic>
                  <pic:nvPicPr>
                    <pic:cNvPr descr="img/fig-celular.png" id="136" name="Picture"/>
                    <pic:cNvPicPr>
                      <a:picLocks noChangeArrowheads="1" noChangeAspect="1"/>
                    </pic:cNvPicPr>
                  </pic:nvPicPr>
                  <pic:blipFill>
                    <a:blip r:embed="rId134"/>
                    <a:stretch>
                      <a:fillRect/>
                    </a:stretch>
                  </pic:blipFill>
                  <pic:spPr bwMode="auto">
                    <a:xfrm>
                      <a:off x="0" y="0"/>
                      <a:ext cx="5939999" cy="4124510"/>
                    </a:xfrm>
                    <a:prstGeom prst="rect">
                      <a:avLst/>
                    </a:prstGeom>
                    <a:noFill/>
                    <a:ln w="9525">
                      <a:noFill/>
                      <a:headEnd/>
                      <a:tailEnd/>
                    </a:ln>
                  </pic:spPr>
                </pic:pic>
              </a:graphicData>
            </a:graphic>
          </wp:inline>
        </w:drawing>
      </w:r>
    </w:p>
    <w:p>
      <w:pPr>
        <w:pStyle w:val="ImageCaption"/>
      </w:pPr>
      <w:r>
        <w:t xml:space="preserve">Figura 30. Materiales, asistencia, verificación de folio y menú abierto en el celular</w:t>
      </w:r>
    </w:p>
    <w:bookmarkEnd w:id="137"/>
    <w:bookmarkEnd w:id="138"/>
    <w:bookmarkStart w:id="141" w:name="trazabilidad"/>
    <w:p>
      <w:pPr>
        <w:pStyle w:val="Ttulo1"/>
      </w:pPr>
      <w:r>
        <w:t xml:space="preserve">7. Trazabilidad</w:t>
      </w:r>
    </w:p>
    <w:bookmarkStart w:id="139" w:name="requisitos-funcionales"/>
    <w:p>
      <w:pPr>
        <w:pStyle w:val="Ttulo2"/>
      </w:pPr>
      <w:r>
        <w:t xml:space="preserve">Requisitos funcionales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Requisito</w:t>
            </w:r>
          </w:p>
        </w:tc>
        <w:tc>
          <w:tcPr/>
          <w:p>
            <w:pPr>
              <w:pStyle w:val="Compact"/>
              <w:jc w:val="left"/>
            </w:pPr>
            <w:r>
              <w:t xml:space="preserve">Entidades / tablas</w:t>
            </w:r>
          </w:p>
        </w:tc>
        <w:tc>
          <w:tcPr/>
          <w:p>
            <w:pPr>
              <w:pStyle w:val="Compact"/>
              <w:jc w:val="left"/>
            </w:pPr>
            <w:r>
              <w:t xml:space="preserve">Caso de uso</w:t>
            </w:r>
          </w:p>
        </w:tc>
        <w:tc>
          <w:tcPr/>
          <w:p>
            <w:pPr>
              <w:pStyle w:val="Compact"/>
              <w:jc w:val="left"/>
            </w:pPr>
            <w:r>
              <w:t xml:space="preserve">Pantalla</w:t>
            </w:r>
          </w:p>
        </w:tc>
      </w:tr>
      <w:tr>
        <w:tc>
          <w:tcPr/>
          <w:p>
            <w:pPr>
              <w:pStyle w:val="Compact"/>
              <w:jc w:val="left"/>
            </w:pPr>
            <w:r>
              <w:t xml:space="preserve">RF-USR-01 a 04</w:t>
            </w:r>
          </w:p>
        </w:tc>
        <w:tc>
          <w:tcPr/>
          <w:p>
            <w:pPr>
              <w:pStyle w:val="Compact"/>
              <w:jc w:val="left"/>
            </w:pPr>
            <w:r>
              <w:t xml:space="preserve">ROL, USUARIO, AUDITORIA</w:t>
            </w:r>
          </w:p>
        </w:tc>
        <w:tc>
          <w:tcPr/>
          <w:p>
            <w:pPr>
              <w:pStyle w:val="Compact"/>
              <w:jc w:val="left"/>
            </w:pPr>
            <w:r>
              <w:t xml:space="preserve">CU-03</w:t>
            </w:r>
          </w:p>
        </w:tc>
        <w:tc>
          <w:tcPr/>
          <w:p>
            <w:pPr>
              <w:pStyle w:val="Compact"/>
              <w:jc w:val="left"/>
            </w:pPr>
            <w:r>
              <w:t xml:space="preserve">P-05 Usuarios</w:t>
            </w:r>
          </w:p>
        </w:tc>
      </w:tr>
      <w:tr>
        <w:tc>
          <w:tcPr/>
          <w:p>
            <w:pPr>
              <w:pStyle w:val="Compact"/>
              <w:jc w:val="left"/>
            </w:pPr>
            <w:r>
              <w:t xml:space="preserve">RF-USR-05</w:t>
            </w:r>
          </w:p>
        </w:tc>
        <w:tc>
          <w:tcPr/>
          <w:p>
            <w:pPr>
              <w:pStyle w:val="Compact"/>
              <w:jc w:val="left"/>
            </w:pPr>
            <w:r>
              <w:t xml:space="preserve">USUARIO</w:t>
            </w:r>
          </w:p>
        </w:tc>
        <w:tc>
          <w:tcPr/>
          <w:p>
            <w:pPr>
              <w:pStyle w:val="Compact"/>
              <w:jc w:val="left"/>
            </w:pPr>
            <w:r>
              <w:t xml:space="preserve">CU-01</w:t>
            </w:r>
          </w:p>
        </w:tc>
        <w:tc>
          <w:tcPr/>
          <w:p>
            <w:pPr>
              <w:pStyle w:val="Compact"/>
              <w:jc w:val="left"/>
            </w:pPr>
            <w:r>
              <w:t xml:space="preserve">P-01 Inicio de sesión</w:t>
            </w:r>
          </w:p>
        </w:tc>
      </w:tr>
      <w:tr>
        <w:tc>
          <w:tcPr/>
          <w:p>
            <w:pPr>
              <w:pStyle w:val="Compact"/>
              <w:jc w:val="left"/>
            </w:pPr>
            <w:r>
              <w:t xml:space="preserve">RF-USR-06</w:t>
            </w:r>
          </w:p>
        </w:tc>
        <w:tc>
          <w:tcPr/>
          <w:p>
            <w:pPr>
              <w:pStyle w:val="Compact"/>
              <w:jc w:val="left"/>
            </w:pPr>
            <w:r>
              <w:t xml:space="preserve">TOKEN_RECUPERACION</w:t>
            </w:r>
          </w:p>
        </w:tc>
        <w:tc>
          <w:tcPr/>
          <w:p>
            <w:pPr>
              <w:pStyle w:val="Compact"/>
              <w:jc w:val="left"/>
            </w:pPr>
            <w:r>
              <w:t xml:space="preserve">CU-02</w:t>
            </w:r>
          </w:p>
        </w:tc>
        <w:tc>
          <w:tcPr/>
          <w:p>
            <w:pPr>
              <w:pStyle w:val="Compact"/>
              <w:jc w:val="left"/>
            </w:pPr>
            <w:r>
              <w:t xml:space="preserve">P-02 Recuperar contraseña</w:t>
            </w:r>
          </w:p>
        </w:tc>
      </w:tr>
      <w:tr>
        <w:tc>
          <w:tcPr/>
          <w:p>
            <w:pPr>
              <w:pStyle w:val="Compact"/>
              <w:jc w:val="left"/>
            </w:pPr>
            <w:r>
              <w:t xml:space="preserve">RF-CUR-01</w:t>
            </w:r>
          </w:p>
        </w:tc>
        <w:tc>
          <w:tcPr/>
          <w:p>
            <w:pPr>
              <w:pStyle w:val="Compact"/>
              <w:jc w:val="left"/>
            </w:pPr>
            <w:r>
              <w:t xml:space="preserve">ESTANDAR_COMPETENCIA, CURSO</w:t>
            </w:r>
          </w:p>
        </w:tc>
        <w:tc>
          <w:tcPr/>
          <w:p>
            <w:pPr>
              <w:pStyle w:val="Compact"/>
              <w:jc w:val="left"/>
            </w:pPr>
            <w:r>
              <w:t xml:space="preserve">CU-04</w:t>
            </w:r>
          </w:p>
        </w:tc>
        <w:tc>
          <w:tcPr/>
          <w:p>
            <w:pPr>
              <w:pStyle w:val="Compact"/>
              <w:jc w:val="left"/>
            </w:pPr>
            <w:r>
              <w:t xml:space="preserve">P-06 Cursos y estándares</w:t>
            </w:r>
          </w:p>
        </w:tc>
      </w:tr>
      <w:tr>
        <w:tc>
          <w:tcPr/>
          <w:p>
            <w:pPr>
              <w:pStyle w:val="Compact"/>
              <w:jc w:val="left"/>
            </w:pPr>
            <w:r>
              <w:t xml:space="preserve">RF-CUR-02, 05, 08, 09</w:t>
            </w:r>
          </w:p>
        </w:tc>
        <w:tc>
          <w:tcPr/>
          <w:p>
            <w:pPr>
              <w:pStyle w:val="Compact"/>
              <w:jc w:val="left"/>
            </w:pPr>
            <w:r>
              <w:t xml:space="preserve">GRUPO, SESION</w:t>
            </w:r>
          </w:p>
        </w:tc>
        <w:tc>
          <w:tcPr/>
          <w:p>
            <w:pPr>
              <w:pStyle w:val="Compact"/>
              <w:jc w:val="left"/>
            </w:pPr>
            <w:r>
              <w:t xml:space="preserve">CU-05</w:t>
            </w:r>
          </w:p>
        </w:tc>
        <w:tc>
          <w:tcPr/>
          <w:p>
            <w:pPr>
              <w:pStyle w:val="Compact"/>
              <w:jc w:val="left"/>
            </w:pPr>
            <w:r>
              <w:t xml:space="preserve">P-07 Grupos, P-08 Detalle del grupo</w:t>
            </w:r>
          </w:p>
        </w:tc>
      </w:tr>
      <w:tr>
        <w:tc>
          <w:tcPr/>
          <w:p>
            <w:pPr>
              <w:pStyle w:val="Compact"/>
              <w:jc w:val="left"/>
            </w:pPr>
            <w:r>
              <w:t xml:space="preserve">RF-CUR-03</w:t>
            </w:r>
          </w:p>
        </w:tc>
        <w:tc>
          <w:tcPr/>
          <w:p>
            <w:pPr>
              <w:pStyle w:val="Compact"/>
              <w:jc w:val="left"/>
            </w:pPr>
            <w:r>
              <w:t xml:space="preserve">PARTICIPANTE, DOCUMENTO_PARTICIPANTE</w:t>
            </w:r>
          </w:p>
        </w:tc>
        <w:tc>
          <w:tcPr/>
          <w:p>
            <w:pPr>
              <w:pStyle w:val="Compact"/>
              <w:jc w:val="left"/>
            </w:pPr>
            <w:r>
              <w:t xml:space="preserve">CU-06</w:t>
            </w:r>
          </w:p>
        </w:tc>
        <w:tc>
          <w:tcPr/>
          <w:p>
            <w:pPr>
              <w:pStyle w:val="Compact"/>
              <w:jc w:val="left"/>
            </w:pPr>
            <w:r>
              <w:t xml:space="preserve">P-03 Autorregistro</w:t>
            </w:r>
          </w:p>
        </w:tc>
      </w:tr>
      <w:tr>
        <w:tc>
          <w:tcPr/>
          <w:p>
            <w:pPr>
              <w:pStyle w:val="Compact"/>
              <w:jc w:val="left"/>
            </w:pPr>
            <w:r>
              <w:t xml:space="preserve">RF-CUR-04</w:t>
            </w:r>
          </w:p>
        </w:tc>
        <w:tc>
          <w:tcPr/>
          <w:p>
            <w:pPr>
              <w:pStyle w:val="Compact"/>
              <w:jc w:val="left"/>
            </w:pPr>
            <w:r>
              <w:t xml:space="preserve">INSCRIPCION</w:t>
            </w:r>
          </w:p>
        </w:tc>
        <w:tc>
          <w:tcPr/>
          <w:p>
            <w:pPr>
              <w:pStyle w:val="Compact"/>
              <w:jc w:val="left"/>
            </w:pPr>
            <w:r>
              <w:t xml:space="preserve">CU-07, CU-08 (figura 14)</w:t>
            </w:r>
          </w:p>
        </w:tc>
        <w:tc>
          <w:tcPr/>
          <w:p>
            <w:pPr>
              <w:pStyle w:val="Compact"/>
              <w:jc w:val="left"/>
            </w:pPr>
            <w:r>
              <w:t xml:space="preserve">P-09 Inscribir participante</w:t>
            </w:r>
          </w:p>
        </w:tc>
      </w:tr>
      <w:tr>
        <w:tc>
          <w:tcPr/>
          <w:p>
            <w:pPr>
              <w:pStyle w:val="Compact"/>
              <w:jc w:val="left"/>
            </w:pPr>
            <w:r>
              <w:t xml:space="preserve">RF-CUR-06, 07</w:t>
            </w:r>
          </w:p>
        </w:tc>
        <w:tc>
          <w:tcPr/>
          <w:p>
            <w:pPr>
              <w:pStyle w:val="Compact"/>
              <w:jc w:val="left"/>
            </w:pPr>
            <w:r>
              <w:t xml:space="preserve">INSCRIPCION, INTENTO_EVALUACION</w:t>
            </w:r>
          </w:p>
        </w:tc>
        <w:tc>
          <w:tcPr/>
          <w:p>
            <w:pPr>
              <w:pStyle w:val="Compact"/>
              <w:jc w:val="left"/>
            </w:pPr>
            <w:r>
              <w:t xml:space="preserve">CU-10, CU-11</w:t>
            </w:r>
          </w:p>
        </w:tc>
        <w:tc>
          <w:tcPr/>
          <w:p>
            <w:pPr>
              <w:pStyle w:val="Compact"/>
              <w:jc w:val="left"/>
            </w:pPr>
            <w:r>
              <w:t xml:space="preserve">P-11 Expediente, P-23 Mi historial</w:t>
            </w:r>
          </w:p>
        </w:tc>
      </w:tr>
      <w:tr>
        <w:tc>
          <w:tcPr/>
          <w:p>
            <w:pPr>
              <w:pStyle w:val="Compact"/>
              <w:jc w:val="left"/>
            </w:pPr>
            <w:r>
              <w:t xml:space="preserve">RF-CUR-10</w:t>
            </w:r>
          </w:p>
        </w:tc>
        <w:tc>
          <w:tcPr/>
          <w:p>
            <w:pPr>
              <w:pStyle w:val="Compact"/>
              <w:jc w:val="left"/>
            </w:pPr>
            <w:r>
              <w:t xml:space="preserve">ASISTENCIA</w:t>
            </w:r>
          </w:p>
        </w:tc>
        <w:tc>
          <w:tcPr/>
          <w:p>
            <w:pPr>
              <w:pStyle w:val="Compact"/>
              <w:jc w:val="left"/>
            </w:pPr>
            <w:r>
              <w:t xml:space="preserve">CU-09</w:t>
            </w:r>
          </w:p>
        </w:tc>
        <w:tc>
          <w:tcPr/>
          <w:p>
            <w:pPr>
              <w:pStyle w:val="Compact"/>
              <w:jc w:val="left"/>
            </w:pPr>
            <w:r>
              <w:t xml:space="preserve">P-17 Asistencia</w:t>
            </w:r>
          </w:p>
        </w:tc>
      </w:tr>
      <w:tr>
        <w:tc>
          <w:tcPr/>
          <w:p>
            <w:pPr>
              <w:pStyle w:val="Compact"/>
              <w:jc w:val="left"/>
            </w:pPr>
            <w:r>
              <w:t xml:space="preserve">RF-APR-01</w:t>
            </w:r>
          </w:p>
        </w:tc>
        <w:tc>
          <w:tcPr/>
          <w:p>
            <w:pPr>
              <w:pStyle w:val="Compact"/>
              <w:jc w:val="left"/>
            </w:pPr>
            <w:r>
              <w:t xml:space="preserve">MATERIAL</w:t>
            </w:r>
          </w:p>
        </w:tc>
        <w:tc>
          <w:tcPr/>
          <w:p>
            <w:pPr>
              <w:pStyle w:val="Compact"/>
              <w:jc w:val="left"/>
            </w:pPr>
            <w:r>
              <w:t xml:space="preserve">CU-12</w:t>
            </w:r>
          </w:p>
        </w:tc>
        <w:tc>
          <w:tcPr/>
          <w:p>
            <w:pPr>
              <w:pStyle w:val="Compact"/>
              <w:jc w:val="left"/>
            </w:pPr>
            <w:r>
              <w:t xml:space="preserve">P-18 Materiales (Instructor)</w:t>
            </w:r>
          </w:p>
        </w:tc>
      </w:tr>
      <w:tr>
        <w:tc>
          <w:tcPr/>
          <w:p>
            <w:pPr>
              <w:pStyle w:val="Compact"/>
              <w:jc w:val="left"/>
            </w:pPr>
            <w:r>
              <w:t xml:space="preserve">RF-APR-02, 03</w:t>
            </w:r>
          </w:p>
        </w:tc>
        <w:tc>
          <w:tcPr/>
          <w:p>
            <w:pPr>
              <w:pStyle w:val="Compact"/>
              <w:jc w:val="left"/>
            </w:pPr>
            <w:r>
              <w:t xml:space="preserve">MATERIAL, CONSULTA_MATERIAL</w:t>
            </w:r>
          </w:p>
        </w:tc>
        <w:tc>
          <w:tcPr/>
          <w:p>
            <w:pPr>
              <w:pStyle w:val="Compact"/>
              <w:jc w:val="left"/>
            </w:pPr>
            <w:r>
              <w:t xml:space="preserve">CU-13</w:t>
            </w:r>
          </w:p>
        </w:tc>
        <w:tc>
          <w:tcPr/>
          <w:p>
            <w:pPr>
              <w:pStyle w:val="Compact"/>
              <w:jc w:val="left"/>
            </w:pPr>
            <w:r>
              <w:t xml:space="preserve">P-22 Materiales (Participante)</w:t>
            </w:r>
          </w:p>
        </w:tc>
      </w:tr>
      <w:tr>
        <w:tc>
          <w:tcPr/>
          <w:p>
            <w:pPr>
              <w:pStyle w:val="Compact"/>
              <w:jc w:val="left"/>
            </w:pPr>
            <w:r>
              <w:t xml:space="preserve">RF-EVA-01, 04</w:t>
            </w:r>
          </w:p>
        </w:tc>
        <w:tc>
          <w:tcPr/>
          <w:p>
            <w:pPr>
              <w:pStyle w:val="Compact"/>
              <w:jc w:val="left"/>
            </w:pPr>
            <w:r>
              <w:t xml:space="preserve">EVALUACION</w:t>
            </w:r>
          </w:p>
        </w:tc>
        <w:tc>
          <w:tcPr/>
          <w:p>
            <w:pPr>
              <w:pStyle w:val="Compact"/>
              <w:jc w:val="left"/>
            </w:pPr>
            <w:r>
              <w:t xml:space="preserve">CU-14</w:t>
            </w:r>
          </w:p>
        </w:tc>
        <w:tc>
          <w:tcPr/>
          <w:p>
            <w:pPr>
              <w:pStyle w:val="Compact"/>
              <w:jc w:val="left"/>
            </w:pPr>
            <w:r>
              <w:t xml:space="preserve">P-12 Instrumentos de evaluación</w:t>
            </w:r>
          </w:p>
        </w:tc>
      </w:tr>
      <w:tr>
        <w:tc>
          <w:tcPr/>
          <w:p>
            <w:pPr>
              <w:pStyle w:val="Compact"/>
              <w:jc w:val="left"/>
            </w:pPr>
            <w:r>
              <w:t xml:space="preserve">RF-EVA-02, 03, 04</w:t>
            </w:r>
          </w:p>
        </w:tc>
        <w:tc>
          <w:tcPr/>
          <w:p>
            <w:pPr>
              <w:pStyle w:val="Compact"/>
              <w:jc w:val="left"/>
            </w:pPr>
            <w:r>
              <w:t xml:space="preserve">INTENTO_EVALUACION, EVIDENCIA</w:t>
            </w:r>
          </w:p>
        </w:tc>
        <w:tc>
          <w:tcPr/>
          <w:p>
            <w:pPr>
              <w:pStyle w:val="Compact"/>
              <w:jc w:val="left"/>
            </w:pPr>
            <w:r>
              <w:t xml:space="preserve">CU-15, CU-16</w:t>
            </w:r>
          </w:p>
        </w:tc>
        <w:tc>
          <w:tcPr/>
          <w:p>
            <w:pPr>
              <w:pStyle w:val="Compact"/>
              <w:jc w:val="left"/>
            </w:pPr>
            <w:r>
              <w:t xml:space="preserve">P-20 Resultado y dictamen</w:t>
            </w:r>
          </w:p>
        </w:tc>
      </w:tr>
      <w:tr>
        <w:tc>
          <w:tcPr/>
          <w:p>
            <w:pPr>
              <w:pStyle w:val="Compact"/>
              <w:jc w:val="left"/>
            </w:pPr>
            <w:r>
              <w:t xml:space="preserve">RF-EVA-05</w:t>
            </w:r>
          </w:p>
        </w:tc>
        <w:tc>
          <w:tcPr/>
          <w:p>
            <w:pPr>
              <w:pStyle w:val="Compact"/>
              <w:jc w:val="left"/>
            </w:pPr>
            <w:r>
              <w:t xml:space="preserve">INTENTO_EVALUACION</w:t>
            </w:r>
          </w:p>
        </w:tc>
        <w:tc>
          <w:tcPr/>
          <w:p>
            <w:pPr>
              <w:pStyle w:val="Compact"/>
              <w:jc w:val="left"/>
            </w:pPr>
            <w:r>
              <w:t xml:space="preserve">CU-11</w:t>
            </w:r>
          </w:p>
        </w:tc>
        <w:tc>
          <w:tcPr/>
          <w:p>
            <w:pPr>
              <w:pStyle w:val="Compact"/>
              <w:jc w:val="left"/>
            </w:pPr>
            <w:r>
              <w:t xml:space="preserve">P-23 Mi historial</w:t>
            </w:r>
          </w:p>
        </w:tc>
      </w:tr>
      <w:tr>
        <w:tc>
          <w:tcPr/>
          <w:p>
            <w:pPr>
              <w:pStyle w:val="Compact"/>
              <w:jc w:val="left"/>
            </w:pPr>
            <w:r>
              <w:t xml:space="preserve">RF-CERT-01, 02, 05</w:t>
            </w:r>
          </w:p>
        </w:tc>
        <w:tc>
          <w:tcPr/>
          <w:p>
            <w:pPr>
              <w:pStyle w:val="Compact"/>
              <w:jc w:val="left"/>
            </w:pPr>
            <w:r>
              <w:t xml:space="preserve">TRAMITE_CERTIFICACION, HISTORIAL_TRAMITE</w:t>
            </w:r>
          </w:p>
        </w:tc>
        <w:tc>
          <w:tcPr/>
          <w:p>
            <w:pPr>
              <w:pStyle w:val="Compact"/>
              <w:jc w:val="left"/>
            </w:pPr>
            <w:r>
              <w:t xml:space="preserve">CU-17 (figura 15)</w:t>
            </w:r>
          </w:p>
        </w:tc>
        <w:tc>
          <w:tcPr/>
          <w:p>
            <w:pPr>
              <w:pStyle w:val="Compact"/>
              <w:jc w:val="left"/>
            </w:pPr>
            <w:r>
              <w:t xml:space="preserve">P-13 Trámites, P-14 Detalle del trámite</w:t>
            </w:r>
          </w:p>
        </w:tc>
      </w:tr>
      <w:tr>
        <w:tc>
          <w:tcPr/>
          <w:p>
            <w:pPr>
              <w:pStyle w:val="Compact"/>
              <w:jc w:val="left"/>
            </w:pPr>
            <w:r>
              <w:t xml:space="preserve">RF-CERT-03, 04</w:t>
            </w:r>
          </w:p>
        </w:tc>
        <w:tc>
          <w:tcPr/>
          <w:p>
            <w:pPr>
              <w:pStyle w:val="Compact"/>
              <w:jc w:val="left"/>
            </w:pPr>
            <w:r>
              <w:t xml:space="preserve">DOCUMENTO_CERTIFICACION</w:t>
            </w:r>
          </w:p>
        </w:tc>
        <w:tc>
          <w:tcPr/>
          <w:p>
            <w:pPr>
              <w:pStyle w:val="Compact"/>
              <w:jc w:val="left"/>
            </w:pPr>
            <w:r>
              <w:t xml:space="preserve">CU-18</w:t>
            </w:r>
          </w:p>
        </w:tc>
        <w:tc>
          <w:tcPr/>
          <w:p>
            <w:pPr>
              <w:pStyle w:val="Compact"/>
              <w:jc w:val="left"/>
            </w:pPr>
            <w:r>
              <w:t xml:space="preserve">P-14 Detalle del trámite</w:t>
            </w:r>
          </w:p>
        </w:tc>
      </w:tr>
      <w:tr>
        <w:tc>
          <w:tcPr/>
          <w:p>
            <w:pPr>
              <w:pStyle w:val="Compact"/>
              <w:jc w:val="left"/>
            </w:pPr>
            <w:r>
              <w:t xml:space="preserve">RF-CERT-06</w:t>
            </w:r>
          </w:p>
        </w:tc>
        <w:tc>
          <w:tcPr/>
          <w:p>
            <w:pPr>
              <w:pStyle w:val="Compact"/>
              <w:jc w:val="left"/>
            </w:pPr>
            <w:r>
              <w:t xml:space="preserve">DOCUMENTO_CERTIFICACION</w:t>
            </w:r>
          </w:p>
        </w:tc>
        <w:tc>
          <w:tcPr/>
          <w:p>
            <w:pPr>
              <w:pStyle w:val="Compact"/>
              <w:jc w:val="left"/>
            </w:pPr>
            <w:r>
              <w:t xml:space="preserve">CU-19</w:t>
            </w:r>
          </w:p>
        </w:tc>
        <w:tc>
          <w:tcPr/>
          <w:p>
            <w:pPr>
              <w:pStyle w:val="Compact"/>
              <w:jc w:val="left"/>
            </w:pPr>
            <w:r>
              <w:t xml:space="preserve">P-24 Mis certificados</w:t>
            </w:r>
          </w:p>
        </w:tc>
      </w:tr>
      <w:tr>
        <w:tc>
          <w:tcPr/>
          <w:p>
            <w:pPr>
              <w:pStyle w:val="Compact"/>
              <w:jc w:val="left"/>
            </w:pPr>
            <w:r>
              <w:t xml:space="preserve">RF-CERT-07</w:t>
            </w:r>
          </w:p>
        </w:tc>
        <w:tc>
          <w:tcPr/>
          <w:p>
            <w:pPr>
              <w:pStyle w:val="Compact"/>
              <w:jc w:val="left"/>
            </w:pPr>
            <w:r>
              <w:t xml:space="preserve">TRAMITE_CERTIFICACION, DOCUMENTO_CERTIFICACION</w:t>
            </w:r>
          </w:p>
        </w:tc>
        <w:tc>
          <w:tcPr/>
          <w:p>
            <w:pPr>
              <w:pStyle w:val="Compact"/>
              <w:jc w:val="left"/>
            </w:pPr>
            <w:r>
              <w:t xml:space="preserve">CU-20</w:t>
            </w:r>
          </w:p>
        </w:tc>
        <w:tc>
          <w:tcPr/>
          <w:p>
            <w:pPr>
              <w:pStyle w:val="Compact"/>
              <w:jc w:val="left"/>
            </w:pPr>
            <w:r>
              <w:t xml:space="preserve">P-25 Verificar folio</w:t>
            </w:r>
          </w:p>
        </w:tc>
      </w:tr>
      <w:tr>
        <w:tc>
          <w:tcPr/>
          <w:p>
            <w:pPr>
              <w:pStyle w:val="Compact"/>
              <w:jc w:val="left"/>
            </w:pPr>
            <w:r>
              <w:t xml:space="preserve">RF-REP-01, 02</w:t>
            </w:r>
          </w:p>
        </w:tc>
        <w:tc>
          <w:tcPr/>
          <w:p>
            <w:pPr>
              <w:pStyle w:val="Compact"/>
              <w:jc w:val="left"/>
            </w:pPr>
            <w:r>
              <w:t xml:space="preserve">Consultas sobre las tablas anteriores</w:t>
            </w:r>
          </w:p>
        </w:tc>
        <w:tc>
          <w:tcPr/>
          <w:p>
            <w:pPr>
              <w:pStyle w:val="Compact"/>
              <w:jc w:val="left"/>
            </w:pPr>
            <w:r>
              <w:t xml:space="preserve">CU-22</w:t>
            </w:r>
          </w:p>
        </w:tc>
        <w:tc>
          <w:tcPr/>
          <w:p>
            <w:pPr>
              <w:pStyle w:val="Compact"/>
              <w:jc w:val="left"/>
            </w:pPr>
            <w:r>
              <w:t xml:space="preserve">P-15 Reportes</w:t>
            </w:r>
          </w:p>
        </w:tc>
      </w:tr>
      <w:tr>
        <w:tc>
          <w:tcPr/>
          <w:p>
            <w:pPr>
              <w:pStyle w:val="Compact"/>
              <w:jc w:val="left"/>
            </w:pPr>
            <w:r>
              <w:t xml:space="preserve">RF-NOT-01</w:t>
            </w:r>
          </w:p>
        </w:tc>
        <w:tc>
          <w:tcPr/>
          <w:p>
            <w:pPr>
              <w:pStyle w:val="Compact"/>
              <w:jc w:val="left"/>
            </w:pPr>
            <w:r>
              <w:t xml:space="preserve">SESION, INTENTO_EVALUACION, TRAMITE_CERTIFICACION</w:t>
            </w:r>
          </w:p>
        </w:tc>
        <w:tc>
          <w:tcPr/>
          <w:p>
            <w:pPr>
              <w:pStyle w:val="Compact"/>
              <w:jc w:val="left"/>
            </w:pPr>
            <w:r>
              <w:t xml:space="preserve">CU-21 (figura 15)</w:t>
            </w:r>
          </w:p>
        </w:tc>
        <w:tc>
          <w:tcPr/>
          <w:p>
            <w:pPr>
              <w:pStyle w:val="Compact"/>
              <w:jc w:val="left"/>
            </w:pPr>
            <w:r>
              <w:t xml:space="preserve">Correo electrónico</w:t>
            </w:r>
          </w:p>
        </w:tc>
      </w:tr>
    </w:tbl>
    <w:bookmarkEnd w:id="139"/>
    <w:bookmarkStart w:id="140" w:name="requisitos-no-funcionales"/>
    <w:p>
      <w:pPr>
        <w:pStyle w:val="Ttulo2"/>
      </w:pPr>
      <w:r>
        <w:t xml:space="preserve">Requisitos no funcionales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Requisito</w:t>
            </w:r>
          </w:p>
        </w:tc>
        <w:tc>
          <w:tcPr/>
          <w:p>
            <w:pPr>
              <w:pStyle w:val="Compact"/>
              <w:jc w:val="left"/>
            </w:pPr>
            <w:r>
              <w:t xml:space="preserve">Cómo lo atiende el diseño</w:t>
            </w:r>
          </w:p>
        </w:tc>
      </w:tr>
      <w:tr>
        <w:tc>
          <w:tcPr/>
          <w:p>
            <w:pPr>
              <w:pStyle w:val="Compact"/>
              <w:jc w:val="left"/>
            </w:pPr>
            <w:r>
              <w:t xml:space="preserve">RNF-01, 02</w:t>
            </w:r>
          </w:p>
        </w:tc>
        <w:tc>
          <w:tcPr/>
          <w:p>
            <w:pPr>
              <w:pStyle w:val="Compact"/>
              <w:jc w:val="left"/>
            </w:pPr>
            <w:r>
              <w:t xml:space="preserve">Aplicación web SPA; pantallas adaptables al navegador del celular (figura 30)</w:t>
            </w:r>
          </w:p>
        </w:tc>
      </w:tr>
      <w:tr>
        <w:tc>
          <w:tcPr/>
          <w:p>
            <w:pPr>
              <w:pStyle w:val="Compact"/>
              <w:jc w:val="left"/>
            </w:pPr>
            <w:r>
              <w:t xml:space="preserve">RNF-03, 04, 13</w:t>
            </w:r>
          </w:p>
        </w:tc>
        <w:tc>
          <w:tcPr/>
          <w:p>
            <w:pPr>
              <w:pStyle w:val="Compact"/>
              <w:jc w:val="left"/>
            </w:pPr>
            <w:r>
              <w:t xml:space="preserve">JWT y middleware de autorización por rol; menú según el rol (figura 16)</w:t>
            </w:r>
          </w:p>
        </w:tc>
      </w:tr>
      <w:tr>
        <w:tc>
          <w:tcPr/>
          <w:p>
            <w:pPr>
              <w:pStyle w:val="Compact"/>
              <w:jc w:val="left"/>
            </w:pPr>
            <w:r>
              <w:t xml:space="preserve">RNF-05</w:t>
            </w:r>
          </w:p>
        </w:tc>
        <w:tc>
          <w:tcPr/>
          <w:p>
            <w:pPr>
              <w:pStyle w:val="Compact"/>
              <w:jc w:val="left"/>
            </w:pPr>
            <w:r>
              <w:t xml:space="preserve">Contraseñas con hash bcrypt (</w:t>
            </w:r>
            <w:r>
              <w:rPr>
                <w:rStyle w:val="VerbatimChar"/>
              </w:rPr>
              <w:t xml:space="preserve">CHAR(60)</w:t>
            </w:r>
            <w:r>
              <w:t xml:space="preserve">)</w:t>
            </w:r>
          </w:p>
        </w:tc>
      </w:tr>
      <w:tr>
        <w:tc>
          <w:tcPr/>
          <w:p>
            <w:pPr>
              <w:pStyle w:val="Compact"/>
              <w:jc w:val="left"/>
            </w:pPr>
            <w:r>
              <w:t xml:space="preserve">RNF-06</w:t>
            </w:r>
          </w:p>
        </w:tc>
        <w:tc>
          <w:tcPr/>
          <w:p>
            <w:pPr>
              <w:pStyle w:val="Compact"/>
              <w:jc w:val="left"/>
            </w:pPr>
            <w:r>
              <w:t xml:space="preserve">Estatus del intento conservado; resultados y documentos modificables solo por el rol autorizado</w:t>
            </w:r>
          </w:p>
        </w:tc>
      </w:tr>
      <w:tr>
        <w:tc>
          <w:tcPr/>
          <w:p>
            <w:pPr>
              <w:pStyle w:val="Compact"/>
              <w:jc w:val="left"/>
            </w:pPr>
            <w:r>
              <w:t xml:space="preserve">RNF-07</w:t>
            </w:r>
          </w:p>
        </w:tc>
        <w:tc>
          <w:tcPr/>
          <w:p>
            <w:pPr>
              <w:pStyle w:val="Compact"/>
              <w:jc w:val="left"/>
            </w:pPr>
            <w:r>
              <w:t xml:space="preserve">Tabla y servicio de auditoría</w:t>
            </w:r>
          </w:p>
        </w:tc>
      </w:tr>
      <w:tr>
        <w:tc>
          <w:tcPr/>
          <w:p>
            <w:pPr>
              <w:pStyle w:val="Compact"/>
              <w:jc w:val="left"/>
            </w:pPr>
            <w:r>
              <w:t xml:space="preserve">RNF-08, 10</w:t>
            </w:r>
          </w:p>
        </w:tc>
        <w:tc>
          <w:tcPr/>
          <w:p>
            <w:pPr>
              <w:pStyle w:val="Compact"/>
              <w:jc w:val="left"/>
            </w:pPr>
            <w:r>
              <w:t xml:space="preserve">Llaves foráneas con RESTRICT, CHECK, UNIQUE y desactivación en lugar de borrado; probadas en MySQL</w:t>
            </w:r>
          </w:p>
        </w:tc>
      </w:tr>
      <w:tr>
        <w:tc>
          <w:tcPr/>
          <w:p>
            <w:pPr>
              <w:pStyle w:val="Compact"/>
              <w:jc w:val="left"/>
            </w:pPr>
            <w:r>
              <w:t xml:space="preserve">RNF-09, 12</w:t>
            </w:r>
          </w:p>
        </w:tc>
        <w:tc>
          <w:tcPr/>
          <w:p>
            <w:pPr>
              <w:pStyle w:val="Compact"/>
              <w:jc w:val="left"/>
            </w:pPr>
            <w:r>
              <w:t xml:space="preserve">Doble validación y mensajes claros definidos en la guía de estilo</w:t>
            </w:r>
          </w:p>
        </w:tc>
      </w:tr>
      <w:tr>
        <w:tc>
          <w:tcPr/>
          <w:p>
            <w:pPr>
              <w:pStyle w:val="Compact"/>
              <w:jc w:val="left"/>
            </w:pPr>
            <w:r>
              <w:t xml:space="preserve">RNF-11</w:t>
            </w:r>
          </w:p>
        </w:tc>
        <w:tc>
          <w:tcPr/>
          <w:p>
            <w:pPr>
              <w:pStyle w:val="Compact"/>
              <w:jc w:val="left"/>
            </w:pPr>
            <w:r>
              <w:t xml:space="preserve">Navegación de máximo tres niveles y componentes consistentes</w:t>
            </w:r>
          </w:p>
        </w:tc>
      </w:tr>
      <w:tr>
        <w:tc>
          <w:tcPr/>
          <w:p>
            <w:pPr>
              <w:pStyle w:val="Compact"/>
              <w:jc w:val="left"/>
            </w:pPr>
            <w:r>
              <w:t xml:space="preserve">RNF-14, 15</w:t>
            </w:r>
          </w:p>
        </w:tc>
        <w:tc>
          <w:tcPr/>
          <w:p>
            <w:pPr>
              <w:pStyle w:val="Compact"/>
              <w:jc w:val="left"/>
            </w:pPr>
            <w:r>
              <w:t xml:space="preserve">Índices adicionales, paginación en listados y consultas solo de los campos necesarios</w:t>
            </w:r>
          </w:p>
        </w:tc>
      </w:tr>
      <w:tr>
        <w:tc>
          <w:tcPr/>
          <w:p>
            <w:pPr>
              <w:pStyle w:val="Compact"/>
              <w:jc w:val="left"/>
            </w:pPr>
            <w:r>
              <w:t xml:space="preserve">RNF-16</w:t>
            </w:r>
          </w:p>
        </w:tc>
        <w:tc>
          <w:tcPr/>
          <w:p>
            <w:pPr>
              <w:pStyle w:val="Compact"/>
              <w:jc w:val="left"/>
            </w:pPr>
            <w:r>
              <w:t xml:space="preserve">Capas rutas → controlador → servicio → modelo</w:t>
            </w:r>
          </w:p>
        </w:tc>
      </w:tr>
      <w:tr>
        <w:tc>
          <w:tcPr/>
          <w:p>
            <w:pPr>
              <w:pStyle w:val="Compact"/>
              <w:jc w:val="left"/>
            </w:pPr>
            <w:r>
              <w:t xml:space="preserve">RNF-17, 18, 19</w:t>
            </w:r>
          </w:p>
        </w:tc>
        <w:tc>
          <w:tcPr/>
          <w:p>
            <w:pPr>
              <w:pStyle w:val="Compact"/>
              <w:jc w:val="left"/>
            </w:pPr>
            <w:r>
              <w:t xml:space="preserve">Una carpeta por módulo; agregar un módulo no reestructura el sistema</w:t>
            </w:r>
          </w:p>
        </w:tc>
      </w:tr>
      <w:tr>
        <w:tc>
          <w:tcPr/>
          <w:p>
            <w:pPr>
              <w:pStyle w:val="Compact"/>
              <w:jc w:val="left"/>
            </w:pPr>
            <w:r>
              <w:t xml:space="preserve">RNF-20</w:t>
            </w:r>
          </w:p>
        </w:tc>
        <w:tc>
          <w:tcPr/>
          <w:p>
            <w:pPr>
              <w:pStyle w:val="Compact"/>
              <w:jc w:val="left"/>
            </w:pPr>
            <w:r>
              <w:t xml:space="preserve">Esquema normalizado hasta 3FN</w:t>
            </w:r>
          </w:p>
        </w:tc>
      </w:tr>
      <w:tr>
        <w:tc>
          <w:tcPr/>
          <w:p>
            <w:pPr>
              <w:pStyle w:val="Compact"/>
              <w:jc w:val="left"/>
            </w:pPr>
            <w:r>
              <w:t xml:space="preserve">RNF-21</w:t>
            </w:r>
          </w:p>
        </w:tc>
        <w:tc>
          <w:tcPr/>
          <w:p>
            <w:pPr>
              <w:pStyle w:val="Compact"/>
              <w:jc w:val="left"/>
            </w:pPr>
            <w:r>
              <w:t xml:space="preserve">API versionada y módulos separados;</w:t>
            </w:r>
            <w:r>
              <w:t xml:space="preserve"> </w:t>
            </w:r>
            <w:r>
              <w:rPr>
                <w:rStyle w:val="VerbatimChar"/>
              </w:rPr>
              <w:t xml:space="preserve">empresa_procedencia</w:t>
            </w:r>
            <w:r>
              <w:t xml:space="preserve"> </w:t>
            </w:r>
            <w:r>
              <w:t xml:space="preserve">puede convertirse en entidad sin cambiar el resto del modelo</w:t>
            </w:r>
          </w:p>
        </w:tc>
      </w:tr>
    </w:tbl>
    <w:p>
      <w:pPr>
        <w:pStyle w:val="BodyText"/>
      </w:pPr>
      <w:r>
        <w:t xml:space="preserve">Todos los requisitos de la ERS v1.1 quedan atendidos por al menos un elemento del diseño.</w:t>
      </w:r>
    </w:p>
    <w:bookmarkEnd w:id="140"/>
    <w:bookmarkEnd w:id="141"/>
    <w:bookmarkStart w:id="142" w:name="referencias"/>
    <w:p>
      <w:pPr>
        <w:pStyle w:val="Ttulo1"/>
      </w:pPr>
      <w:r>
        <w:t xml:space="preserve">Referencias</w:t>
      </w:r>
    </w:p>
    <w:p>
      <w:pPr>
        <w:pStyle w:val="FirstParagraph"/>
      </w:pPr>
      <w:r>
        <w:t xml:space="preserve">Booch, G., Rumbaugh, J., &amp; Jacobson, I. (2005).</w:t>
      </w:r>
      <w:r>
        <w:t xml:space="preserve"> </w:t>
      </w:r>
      <w:r>
        <w:rPr>
          <w:iCs/>
          <w:i/>
        </w:rPr>
        <w:t xml:space="preserve">The Unified Modeling Language user guide</w:t>
      </w:r>
      <w:r>
        <w:t xml:space="preserve"> </w:t>
      </w:r>
      <w:r>
        <w:t xml:space="preserve">(2nd ed.). Addison-Wesley.</w:t>
      </w:r>
    </w:p>
    <w:p>
      <w:pPr>
        <w:pStyle w:val="BodyText"/>
      </w:pPr>
      <w:r>
        <w:t xml:space="preserve">Chen, P. P.-S. (1976). The entity-relationship model—Toward a unified view of data.</w:t>
      </w:r>
      <w:r>
        <w:t xml:space="preserve"> </w:t>
      </w:r>
      <w:r>
        <w:rPr>
          <w:iCs/>
          <w:i/>
        </w:rPr>
        <w:t xml:space="preserve">ACM Transactions on Database Systems, 1</w:t>
      </w:r>
      <w:r>
        <w:t xml:space="preserve">(1), 9–36. https://doi.org/10.1145/320434.320440</w:t>
      </w:r>
    </w:p>
    <w:p>
      <w:pPr>
        <w:pStyle w:val="BodyText"/>
      </w:pPr>
      <w:r>
        <w:t xml:space="preserve">Codd, E. F. (1970). A relational model of data for large shared data banks.</w:t>
      </w:r>
      <w:r>
        <w:t xml:space="preserve"> </w:t>
      </w:r>
      <w:r>
        <w:rPr>
          <w:iCs/>
          <w:i/>
        </w:rPr>
        <w:t xml:space="preserve">Communications of the ACM, 13</w:t>
      </w:r>
      <w:r>
        <w:t xml:space="preserve">(6), 377–387. https://doi.org/10.1145/362384.362685</w:t>
      </w:r>
    </w:p>
    <w:p>
      <w:pPr>
        <w:pStyle w:val="BodyText"/>
      </w:pPr>
      <w:r>
        <w:t xml:space="preserve">Consejo Nacional de Normalización y Certificación de Competencias Laborales. (s.f.).</w:t>
      </w:r>
      <w:r>
        <w:t xml:space="preserve"> </w:t>
      </w:r>
      <w:r>
        <w:rPr>
          <w:iCs/>
          <w:i/>
        </w:rPr>
        <w:t xml:space="preserve">Manual del participante: Red de prestadores de servicios</w:t>
      </w:r>
      <w:r>
        <w:t xml:space="preserve"> </w:t>
      </w:r>
      <w:r>
        <w:t xml:space="preserve">[Manual]. Secretaría de Educación Pública.</w:t>
      </w:r>
    </w:p>
    <w:p>
      <w:pPr>
        <w:pStyle w:val="BodyText"/>
      </w:pPr>
      <w:r>
        <w:t xml:space="preserve">Elmasri, R., &amp; Navathe, S. B. (2016).</w:t>
      </w:r>
      <w:r>
        <w:t xml:space="preserve"> </w:t>
      </w:r>
      <w:r>
        <w:rPr>
          <w:iCs/>
          <w:i/>
        </w:rPr>
        <w:t xml:space="preserve">Fundamentals of database systems</w:t>
      </w:r>
      <w:r>
        <w:t xml:space="preserve"> </w:t>
      </w:r>
      <w:r>
        <w:t xml:space="preserve">(7th ed.). Pearson.</w:t>
      </w:r>
    </w:p>
    <w:p>
      <w:pPr>
        <w:pStyle w:val="BodyText"/>
      </w:pPr>
      <w:r>
        <w:t xml:space="preserve">Fielding, R. T. (2000).</w:t>
      </w:r>
      <w:r>
        <w:t xml:space="preserve"> </w:t>
      </w:r>
      <w:r>
        <w:rPr>
          <w:iCs/>
          <w:i/>
        </w:rPr>
        <w:t xml:space="preserve">Architectural styles and the design of network-based software architectures</w:t>
      </w:r>
      <w:r>
        <w:t xml:space="preserve"> </w:t>
      </w:r>
      <w:r>
        <w:t xml:space="preserve">[Tesis doctoral, University of California, Irvine].</w:t>
      </w:r>
    </w:p>
    <w:p>
      <w:pPr>
        <w:pStyle w:val="BodyText"/>
      </w:pPr>
      <w:r>
        <w:t xml:space="preserve">Fowler, M. (2004).</w:t>
      </w:r>
      <w:r>
        <w:t xml:space="preserve"> </w:t>
      </w:r>
      <w:r>
        <w:rPr>
          <w:iCs/>
          <w:i/>
        </w:rPr>
        <w:t xml:space="preserve">UML distilled: A brief guide to the standard object modeling language</w:t>
      </w:r>
      <w:r>
        <w:t xml:space="preserve"> </w:t>
      </w:r>
      <w:r>
        <w:t xml:space="preserve">(3rd ed.). Addison-Wesley.</w:t>
      </w:r>
    </w:p>
    <w:p>
      <w:pPr>
        <w:pStyle w:val="BodyText"/>
      </w:pPr>
      <w:r>
        <w:t xml:space="preserve">Institute of Electrical and Electronics Engineers. (1998).</w:t>
      </w:r>
      <w:r>
        <w:t xml:space="preserve"> </w:t>
      </w:r>
      <w:r>
        <w:rPr>
          <w:iCs/>
          <w:i/>
        </w:rPr>
        <w:t xml:space="preserve">IEEE recommended practice for software requirements specifications</w:t>
      </w:r>
      <w:r>
        <w:t xml:space="preserve"> </w:t>
      </w:r>
      <w:r>
        <w:t xml:space="preserve">(IEEE Std 830-1998). IEEE.</w:t>
      </w:r>
    </w:p>
    <w:p>
      <w:pPr>
        <w:pStyle w:val="BodyText"/>
      </w:pPr>
      <w:r>
        <w:t xml:space="preserve">Nielsen, J. (1994).</w:t>
      </w:r>
      <w:r>
        <w:t xml:space="preserve"> </w:t>
      </w:r>
      <w:r>
        <w:rPr>
          <w:iCs/>
          <w:i/>
        </w:rPr>
        <w:t xml:space="preserve">10 usability heuristics for user interface design</w:t>
      </w:r>
      <w:r>
        <w:t xml:space="preserve">. Nielsen Norman Group. https://www.nngroup.com/articles/ten-usability-heuristics/</w:t>
      </w:r>
    </w:p>
    <w:p>
      <w:pPr>
        <w:pStyle w:val="BodyText"/>
      </w:pPr>
      <w:r>
        <w:t xml:space="preserve">Object Management Group. (2017).</w:t>
      </w:r>
      <w:r>
        <w:t xml:space="preserve"> </w:t>
      </w:r>
      <w:r>
        <w:rPr>
          <w:iCs/>
          <w:i/>
        </w:rPr>
        <w:t xml:space="preserve">OMG Unified Modeling Language (OMG UML), version 2.5.1</w:t>
      </w:r>
      <w:r>
        <w:t xml:space="preserve">. https://www.omg.org/spec/UML/2.5.1</w:t>
      </w:r>
    </w:p>
    <w:p>
      <w:pPr>
        <w:pStyle w:val="BodyText"/>
      </w:pPr>
      <w:r>
        <w:t xml:space="preserve">Oracle Corporation. (s.f.).</w:t>
      </w:r>
      <w:r>
        <w:t xml:space="preserve"> </w:t>
      </w:r>
      <w:r>
        <w:rPr>
          <w:iCs/>
          <w:i/>
        </w:rPr>
        <w:t xml:space="preserve">FOREIGN KEY constraints</w:t>
      </w:r>
      <w:r>
        <w:t xml:space="preserve"> </w:t>
      </w:r>
      <w:r>
        <w:t xml:space="preserve">(Sección 15.1.20.5). MySQL 8.0 Reference Manual. Recuperado el 21 de octubre de 2026, de https://dev.mysql.com/doc/refman/8.0/en/create-table-foreign-keys.html</w:t>
      </w:r>
    </w:p>
    <w:p>
      <w:pPr>
        <w:pStyle w:val="BodyText"/>
      </w:pPr>
      <w:r>
        <w:t xml:space="preserve">Pressman, R. S., &amp; Maxim, B. R. (2020).</w:t>
      </w:r>
      <w:r>
        <w:t xml:space="preserve"> </w:t>
      </w:r>
      <w:r>
        <w:rPr>
          <w:iCs/>
          <w:i/>
        </w:rPr>
        <w:t xml:space="preserve">Software engineering: A practitioner’s approach</w:t>
      </w:r>
      <w:r>
        <w:t xml:space="preserve"> </w:t>
      </w:r>
      <w:r>
        <w:t xml:space="preserve">(9th ed.). McGraw-Hill Education.</w:t>
      </w:r>
    </w:p>
    <w:p>
      <w:pPr>
        <w:pStyle w:val="BodyText"/>
      </w:pPr>
      <w:r>
        <w:t xml:space="preserve">Sequelize. (s.f.).</w:t>
      </w:r>
      <w:r>
        <w:t xml:space="preserve"> </w:t>
      </w:r>
      <w:r>
        <w:rPr>
          <w:iCs/>
          <w:i/>
        </w:rPr>
        <w:t xml:space="preserve">Migrations</w:t>
      </w:r>
      <w:r>
        <w:t xml:space="preserve">. Sequelize v6 Documentation. Recuperado el 21 de octubre de 2026, de https://sequelize.org/docs/v6/other-topics/migrations/</w:t>
      </w:r>
    </w:p>
    <w:p>
      <w:pPr>
        <w:pStyle w:val="BodyText"/>
      </w:pPr>
      <w:r>
        <w:t xml:space="preserve">Sommerville, I. (2011).</w:t>
      </w:r>
      <w:r>
        <w:t xml:space="preserve"> </w:t>
      </w:r>
      <w:r>
        <w:rPr>
          <w:iCs/>
          <w:i/>
        </w:rPr>
        <w:t xml:space="preserve">Ingeniería de software</w:t>
      </w:r>
      <w:r>
        <w:t xml:space="preserve"> </w:t>
      </w:r>
      <w:r>
        <w:t xml:space="preserve">(9.ª ed.). Pearson Educación.</w:t>
      </w:r>
    </w:p>
    <w:p>
      <w:pPr>
        <w:pStyle w:val="BodyText"/>
      </w:pPr>
      <w:r>
        <w:t xml:space="preserve">World Wide Web Consortium. (2018).</w:t>
      </w:r>
      <w:r>
        <w:t xml:space="preserve"> </w:t>
      </w:r>
      <w:r>
        <w:rPr>
          <w:iCs/>
          <w:i/>
        </w:rPr>
        <w:t xml:space="preserve">Web Content Accessibility Guidelines (WCAG) 2.1</w:t>
      </w:r>
      <w:r>
        <w:t xml:space="preserve">. https://www.w3.org/TR/WCAG21/</w:t>
      </w:r>
    </w:p>
    <w:bookmarkEnd w:id="142"/>
    <w:bookmarkStart w:id="143" w:name="anexos"/>
    <w:p>
      <w:pPr>
        <w:pStyle w:val="Ttulo1"/>
      </w:pPr>
      <w:r>
        <w:t xml:space="preserve">Anexos</w:t>
      </w:r>
    </w:p>
    <w:p>
      <w:pPr>
        <w:numPr>
          <w:ilvl w:val="0"/>
          <w:numId w:val="1004"/>
        </w:numPr>
        <w:pStyle w:val="Compact"/>
      </w:pPr>
      <w:r>
        <w:rPr>
          <w:bCs/>
          <w:b/>
        </w:rPr>
        <w:t xml:space="preserve">Anexo A.</w:t>
      </w:r>
      <w:r>
        <w:t xml:space="preserve"> </w:t>
      </w:r>
      <w:r>
        <w:t xml:space="preserve">Evidencia de la construcción de la base de datos cindec_db (documento Word con 53 figuras).</w:t>
      </w:r>
    </w:p>
    <w:p>
      <w:pPr>
        <w:numPr>
          <w:ilvl w:val="0"/>
          <w:numId w:val="1004"/>
        </w:numPr>
        <w:pStyle w:val="Compact"/>
      </w:pPr>
      <w:r>
        <w:rPr>
          <w:bCs/>
          <w:b/>
        </w:rPr>
        <w:t xml:space="preserve">Anexo B.</w:t>
      </w:r>
      <w:r>
        <w:t xml:space="preserve"> </w:t>
      </w:r>
      <w:r>
        <w:t xml:space="preserve">Diccionario de datos de cindec_db (</w:t>
      </w:r>
      <w:r>
        <w:rPr>
          <w:rStyle w:val="VerbatimChar"/>
        </w:rPr>
        <w:t xml:space="preserve">03-3-diccionario-de-datos.md</w:t>
      </w:r>
      <w:r>
        <w:t xml:space="preserve"> </w:t>
      </w:r>
      <w:r>
        <w:t xml:space="preserve">y libro de Excel).</w:t>
      </w:r>
    </w:p>
    <w:p>
      <w:pPr>
        <w:numPr>
          <w:ilvl w:val="0"/>
          <w:numId w:val="1004"/>
        </w:numPr>
        <w:pStyle w:val="Compact"/>
      </w:pPr>
      <w:r>
        <w:rPr>
          <w:bCs/>
          <w:b/>
        </w:rPr>
        <w:t xml:space="preserve">Anexo C.</w:t>
      </w:r>
      <w:r>
        <w:t xml:space="preserve"> </w:t>
      </w:r>
      <w:r>
        <w:t xml:space="preserve">Normalización de la base de datos (libro de Excel con las tres formas normales).</w:t>
      </w:r>
    </w:p>
    <w:p>
      <w:pPr>
        <w:numPr>
          <w:ilvl w:val="0"/>
          <w:numId w:val="1004"/>
        </w:numPr>
        <w:pStyle w:val="Compact"/>
      </w:pPr>
      <w:r>
        <w:rPr>
          <w:bCs/>
          <w:b/>
        </w:rPr>
        <w:t xml:space="preserve">Anexo D.</w:t>
      </w:r>
      <w:r>
        <w:t xml:space="preserve"> </w:t>
      </w:r>
      <w:r>
        <w:t xml:space="preserve">Scripts SQL de la base de datos (</w:t>
      </w:r>
      <w:r>
        <w:rPr>
          <w:rStyle w:val="VerbatimChar"/>
        </w:rPr>
        <w:t xml:space="preserve">docs/02-diseno/sql/</w:t>
      </w:r>
      <w:r>
        <w:t xml:space="preserve">, nueve archivos).</w:t>
      </w:r>
    </w:p>
    <w:p>
      <w:pPr>
        <w:numPr>
          <w:ilvl w:val="0"/>
          <w:numId w:val="1004"/>
        </w:numPr>
        <w:pStyle w:val="Compact"/>
      </w:pPr>
      <w:r>
        <w:rPr>
          <w:bCs/>
          <w:b/>
        </w:rPr>
        <w:t xml:space="preserve">Anexo E.</w:t>
      </w:r>
      <w:r>
        <w:t xml:space="preserve"> </w:t>
      </w:r>
      <w:r>
        <w:t xml:space="preserve">Prototipos navegables (lienzo</w:t>
      </w:r>
      <w:r>
        <w:t xml:space="preserve"> </w:t>
      </w:r>
      <w:r>
        <w:rPr>
          <w:iCs/>
          <w:i/>
        </w:rPr>
        <w:t xml:space="preserve">Prototipos Sistema CINDEC</w:t>
      </w:r>
      <w:r>
        <w:t xml:space="preserve">) e imágenes en</w:t>
      </w:r>
      <w:r>
        <w:t xml:space="preserve"> </w:t>
      </w:r>
      <w:r>
        <w:rPr>
          <w:rStyle w:val="VerbatimChar"/>
        </w:rPr>
        <w:t xml:space="preserve">docs/02-diseno/img/prototipos/</w:t>
      </w:r>
      <w:r>
        <w:t xml:space="preserve">.</w:t>
      </w:r>
    </w:p>
    <w:p>
      <w:pPr>
        <w:numPr>
          <w:ilvl w:val="0"/>
          <w:numId w:val="1004"/>
        </w:numPr>
        <w:pStyle w:val="Compact"/>
      </w:pPr>
      <w:r>
        <w:rPr>
          <w:bCs/>
          <w:b/>
        </w:rPr>
        <w:t xml:space="preserve">Anexo F.</w:t>
      </w:r>
      <w:r>
        <w:t xml:space="preserve"> </w:t>
      </w:r>
      <w:r>
        <w:t xml:space="preserve">Sistema de diseño CINDEC (colores, tipografía y componentes).</w:t>
      </w:r>
    </w:p>
    <w:bookmarkEnd w:id="143"/>
    <w:sectPr w:rsidR="00957C06">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4C3522B"/>
    <w:multiLevelType w:val="hybridMultilevel"/>
    <w:tmpl w:val="E1981D6E"/>
    <w:lvl w:ilvl="0" w:tplc="6EF896E8">
      <w:start w:val="1"/>
      <w:numFmt w:val="bullet"/>
      <w:lvlText w:val="•"/>
      <w:lvlJc w:val="left"/>
      <w:pPr>
        <w:ind w:hanging="288" w:left="431"/>
      </w:pPr>
    </w:lvl>
    <w:lvl w:ilvl="1" w:tplc="D0282BBE">
      <w:start w:val="1"/>
      <w:numFmt w:val="bullet"/>
      <w:lvlText w:val="◦"/>
      <w:lvlJc w:val="left"/>
      <w:pPr>
        <w:ind w:hanging="288" w:left="863"/>
      </w:pPr>
    </w:lvl>
    <w:lvl w:ilvl="2" w:tplc="99C231FC">
      <w:numFmt w:val="decimal"/>
      <w:lvlText w:val=""/>
      <w:lvlJc w:val="left"/>
    </w:lvl>
    <w:lvl w:ilvl="3" w:tplc="E1C25058">
      <w:numFmt w:val="decimal"/>
      <w:lvlText w:val=""/>
      <w:lvlJc w:val="left"/>
    </w:lvl>
    <w:lvl w:ilvl="4" w:tplc="9AAC592A">
      <w:numFmt w:val="decimal"/>
      <w:lvlText w:val=""/>
      <w:lvlJc w:val="left"/>
    </w:lvl>
    <w:lvl w:ilvl="5" w:tplc="F722540E">
      <w:numFmt w:val="decimal"/>
      <w:lvlText w:val=""/>
      <w:lvlJc w:val="left"/>
    </w:lvl>
    <w:lvl w:ilvl="6" w:tplc="03D8EDD8">
      <w:numFmt w:val="decimal"/>
      <w:lvlText w:val=""/>
      <w:lvlJc w:val="left"/>
    </w:lvl>
    <w:lvl w:ilvl="7" w:tplc="2A1602E4">
      <w:numFmt w:val="decimal"/>
      <w:lvlText w:val=""/>
      <w:lvlJc w:val="left"/>
    </w:lvl>
    <w:lvl w:ilvl="8" w:tplc="24A66B24">
      <w:numFmt w:val="decimal"/>
      <w:lvlText w:val=""/>
      <w:lvlJc w:val="left"/>
    </w:lvl>
  </w:abstractNum>
  <w:abstractNum w15:restartNumberingAfterBreak="0" w:abstractNumId="1">
    <w:nsid w:val="65856A30"/>
    <w:multiLevelType w:val="hybridMultilevel"/>
    <w:tmpl w:val="9A90326E"/>
    <w:lvl w:ilvl="0" w:tplc="044C39A0">
      <w:start w:val="1"/>
      <w:numFmt w:val="bullet"/>
      <w:lvlText w:val="●"/>
      <w:lvlJc w:val="left"/>
      <w:pPr>
        <w:ind w:hanging="360" w:left="720"/>
      </w:pPr>
    </w:lvl>
    <w:lvl w:ilvl="1" w:tplc="3B766F12">
      <w:start w:val="1"/>
      <w:numFmt w:val="bullet"/>
      <w:lvlText w:val="○"/>
      <w:lvlJc w:val="left"/>
      <w:pPr>
        <w:ind w:hanging="360" w:left="1440"/>
      </w:pPr>
    </w:lvl>
    <w:lvl w:ilvl="2" w:tplc="6FF0C03C">
      <w:start w:val="1"/>
      <w:numFmt w:val="bullet"/>
      <w:lvlText w:val="■"/>
      <w:lvlJc w:val="left"/>
      <w:pPr>
        <w:ind w:hanging="360" w:left="2160"/>
      </w:pPr>
    </w:lvl>
    <w:lvl w:ilvl="3" w:tplc="5C5C9ACC">
      <w:start w:val="1"/>
      <w:numFmt w:val="bullet"/>
      <w:lvlText w:val="●"/>
      <w:lvlJc w:val="left"/>
      <w:pPr>
        <w:ind w:hanging="360" w:left="2880"/>
      </w:pPr>
    </w:lvl>
    <w:lvl w:ilvl="4" w:tplc="08282ECC">
      <w:start w:val="1"/>
      <w:numFmt w:val="bullet"/>
      <w:lvlText w:val="○"/>
      <w:lvlJc w:val="left"/>
      <w:pPr>
        <w:ind w:hanging="360" w:left="3600"/>
      </w:pPr>
    </w:lvl>
    <w:lvl w:ilvl="5" w:tplc="A0A684F6">
      <w:start w:val="1"/>
      <w:numFmt w:val="bullet"/>
      <w:lvlText w:val="■"/>
      <w:lvlJc w:val="left"/>
      <w:pPr>
        <w:ind w:hanging="360" w:left="4320"/>
      </w:pPr>
    </w:lvl>
    <w:lvl w:ilvl="6" w:tplc="4D26307E">
      <w:start w:val="1"/>
      <w:numFmt w:val="bullet"/>
      <w:lvlText w:val="●"/>
      <w:lvlJc w:val="left"/>
      <w:pPr>
        <w:ind w:hanging="360" w:left="5040"/>
      </w:pPr>
    </w:lvl>
    <w:lvl w:ilvl="7" w:tplc="BB4AA4D8">
      <w:start w:val="1"/>
      <w:numFmt w:val="bullet"/>
      <w:lvlText w:val="●"/>
      <w:lvlJc w:val="left"/>
      <w:pPr>
        <w:ind w:hanging="360" w:left="5760"/>
      </w:pPr>
    </w:lvl>
    <w:lvl w:ilvl="8" w:tplc="86D620AA">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420950039" w:numId="1">
    <w:abstractNumId w:val="1"/>
    <w:lvlOverride w:ilvl="0">
      <w:startOverride w:val="1"/>
    </w:lvlOverride>
  </w:num>
  <w:num w16cid:durableId="858347152" w:numId="2">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MX"/>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s-MX" w:val="es-MX"/>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uiPriority w:val="9"/>
    <w:qFormat/>
    <w:pPr>
      <w:keepNext/>
      <w:keepLines/>
      <w:pageBreakBefore/>
      <w:spacing w:before="0" w:after="200"/>
      <w:outlineLvl w:val="0"/>
    </w:pPr>
    <w:rPr>
      <w:color w:val="2E74B5"/>
      <w:sz w:val="32"/>
      <w:szCs w:val="32"/>
    </w:rPr>
  </w:style>
  <w:style w:styleId="Ttulo2" w:type="paragraph">
    <w:name w:val="heading 2"/>
    <w:uiPriority w:val="9"/>
    <w:unhideWhenUsed/>
    <w:qFormat/>
    <w:pPr>
      <w:keepNext/>
      <w:keepLines/>
      <w:outlineLvl w:val="1"/>
    </w:pPr>
    <w:rPr>
      <w:color w:val="2E74B5"/>
      <w:sz w:val="26"/>
      <w:szCs w:val="26"/>
    </w:rPr>
  </w:style>
  <w:style w:styleId="Ttulo3" w:type="paragraph">
    <w:name w:val="heading 3"/>
    <w:uiPriority w:val="9"/>
    <w:semiHidden/>
    <w:unhideWhenUsed/>
    <w:qFormat/>
    <w:pPr>
      <w:keepNext/>
      <w:keepLines/>
      <w:outlineLvl w:val="2"/>
    </w:pPr>
    <w:rPr>
      <w:color w:val="1F4D78"/>
      <w:sz w:val="24"/>
      <w:szCs w:val="24"/>
    </w:rPr>
  </w:style>
  <w:style w:styleId="Ttulo4" w:type="paragraph">
    <w:name w:val="heading 4"/>
    <w:uiPriority w:val="9"/>
    <w:semiHidden/>
    <w:unhideWhenUsed/>
    <w:qFormat/>
    <w:pPr>
      <w:outlineLvl w:val="3"/>
    </w:pPr>
    <w:rPr>
      <w:i/>
      <w:iCs/>
      <w:color w:val="2E74B5"/>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rPr>
      <w:sz w:val="20"/>
      <w:szCs w:val="20"/>
    </w:rPr>
  </w:style>
  <w:style w:customStyle="1" w:styleId="TextonotaalfinalCar" w:type="character">
    <w:name w:val="Texto nota al final Car"/>
    <w:link w:val="Textonotaalfinal"/>
    <w:uiPriority w:val="99"/>
    <w:semiHidden/>
    <w:unhideWhenUsed/>
    <w:rPr>
      <w:sz w:val="20"/>
      <w:szCs w:val="20"/>
    </w:rPr>
  </w:style>
  <w:style w:styleId="Mencinsinresolver" w:type="character">
    <w:name w:val="Unresolved Mention"/>
    <w:basedOn w:val="Fuentedeprrafopredeter"/>
    <w:uiPriority w:val="99"/>
    <w:semiHidden/>
    <w:unhideWhenUsed/>
    <w:rsid w:val="00957C06"/>
    <w:rPr>
      <w:color w:val="605E5C"/>
      <w:shd w:color="auto" w:fill="E1DFDD" w:val="clear"/>
    </w:rPr>
  </w:style>
  <w:style w:styleId="TtuloTDC" w:type="paragraph">
    <w:name w:val="TOC Heading"/>
    <w:basedOn w:val="Ttulo1"/>
    <w:next w:val="Normal"/>
    <w:uiPriority w:val="39"/>
    <w:unhideWhenUsed/>
    <w:qFormat/>
    <w:rsid w:val="00CD22A6"/>
    <w:pPr>
      <w:keepNext/>
      <w:keepLines/>
      <w:spacing w:before="240" w:line="259" w:lineRule="auto"/>
      <w:outlineLvl w:val="9"/>
    </w:pPr>
    <w:rPr>
      <w:rFonts w:asciiTheme="majorHAnsi" w:cstheme="majorBidi" w:eastAsiaTheme="majorEastAsia" w:hAnsiTheme="majorHAnsi"/>
      <w:color w:themeColor="accent1" w:themeShade="BF" w:val="2F5496"/>
    </w:rPr>
  </w:style>
  <w:style w:styleId="TDC1" w:type="paragraph">
    <w:name w:val="toc 1"/>
    <w:basedOn w:val="Normal"/>
    <w:next w:val="Normal"/>
    <w:autoRedefine/>
    <w:uiPriority w:val="39"/>
    <w:unhideWhenUsed/>
    <w:rsid w:val="00CD22A6"/>
    <w:pPr>
      <w:spacing w:after="100"/>
    </w:pPr>
  </w:style>
  <w:style w:styleId="TDC2" w:type="paragraph">
    <w:name w:val="toc 2"/>
    <w:basedOn w:val="Normal"/>
    <w:next w:val="Normal"/>
    <w:autoRedefine/>
    <w:uiPriority w:val="39"/>
    <w:unhideWhenUsed/>
    <w:rsid w:val="00CD22A6"/>
    <w:pPr>
      <w:spacing w:after="100"/>
      <w:ind w:left="22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BodyText">
    <w:name w:val="Body Text"/>
    <w:basedOn w:val="Normal"/>
    <w:qFormat/>
    <w:pPr>
      <w:spacing w:before="0" w:after="140" w:line="276" w:lineRule="auto"/>
      <w:jc w:val="both"/>
    </w:pPr>
    <w:rPr/>
  </w:style>
  <w:style w:type="paragraph" w:customStyle="1" w:styleId="FirstParagraph">
    <w:name w:val="First Paragraph"/>
    <w:basedOn w:val="BodyText"/>
    <w:qFormat/>
    <w:pPr/>
    <w:rPr/>
  </w:style>
  <w:style w:type="paragraph" w:customStyle="1" w:styleId="Compact">
    <w:name w:val="Compact"/>
    <w:basedOn w:val="BodyText"/>
    <w:qFormat/>
    <w:pPr>
      <w:spacing w:before="20" w:after="20" w:line="240" w:lineRule="auto"/>
      <w:jc w:val="left"/>
    </w:pPr>
    <w:rPr>
      <w:sz w:val="19"/>
      <w:szCs w:val="19"/>
    </w:rPr>
  </w:style>
  <w:style w:type="paragraph" w:customStyle="1" w:styleId="CaptionedFigure">
    <w:name w:val="Captioned Figure"/>
    <w:basedOn w:val="BodyText"/>
    <w:qFormat/>
    <w:pPr>
      <w:keepNext/>
      <w:spacing w:before="200" w:after="60"/>
      <w:jc w:val="center"/>
    </w:pPr>
    <w:rPr/>
  </w:style>
  <w:style w:type="paragraph" w:customStyle="1" w:styleId="ImageCaption">
    <w:name w:val="Image Caption"/>
    <w:basedOn w:val="BodyText"/>
    <w:qFormat/>
    <w:pPr>
      <w:spacing w:before="0" w:after="260"/>
      <w:jc w:val="center"/>
    </w:pPr>
    <w:rPr>
      <w:i/>
      <w:color w:val="44546A"/>
      <w:sz w:val="19"/>
      <w:szCs w:val="19"/>
    </w:rPr>
  </w:style>
  <w:style w:type="paragraph" w:customStyle="1" w:styleId="Portada">
    <w:name w:val="Portada"/>
    <w:basedOn w:val="Normal"/>
    <w:qFormat/>
    <w:pPr>
      <w:spacing w:before="0" w:after="40"/>
      <w:jc w:val="center"/>
    </w:pPr>
    <w:rPr>
      <w:b/>
      <w:sz w:val="24"/>
      <w:szCs w:val="24"/>
    </w:rPr>
  </w:style>
  <w:style w:type="paragraph" w:customStyle="1" w:styleId="PortadaEspacio">
    <w:name w:val="PortadaEspacio"/>
    <w:basedOn w:val="Normal"/>
    <w:qFormat/>
    <w:pPr>
      <w:spacing w:before="1700" w:after="0"/>
      <w:jc w:val="center"/>
    </w:pPr>
    <w:rPr/>
  </w:style>
  <w:style w:type="paragraph" w:customStyle="1" w:styleId="PortadaTitulo">
    <w:name w:val="PortadaTitulo"/>
    <w:basedOn w:val="Normal"/>
    <w:qFormat/>
    <w:pPr>
      <w:spacing w:before="0" w:after="200"/>
      <w:jc w:val="center"/>
    </w:pPr>
    <w:rPr>
      <w:b/>
      <w:color w:val="1F3864"/>
      <w:sz w:val="36"/>
      <w:szCs w:val="36"/>
    </w:rPr>
  </w:style>
  <w:style w:type="paragraph" w:customStyle="1" w:styleId="PortadaSub">
    <w:name w:val="PortadaSub"/>
    <w:basedOn w:val="Normal"/>
    <w:qFormat/>
    <w:pPr>
      <w:spacing w:before="0" w:after="100"/>
      <w:jc w:val="center"/>
    </w:pPr>
    <w:rPr>
      <w:i/>
      <w:sz w:val="22"/>
      <w:szCs w:val="22"/>
    </w:rPr>
  </w:style>
  <w:style w:type="paragraph" w:customStyle="1" w:styleId="PortadaDato">
    <w:name w:val="PortadaDato"/>
    <w:basedOn w:val="Normal"/>
    <w:qFormat/>
    <w:pPr>
      <w:spacing w:before="0" w:after="80"/>
      <w:jc w:val="center"/>
    </w:pPr>
    <w:rPr>
      <w:sz w:val="22"/>
      <w:szCs w:val="22"/>
    </w:rPr>
  </w:style>
  <w:style w:type="table" w:customStyle="1" w:styleId="Table">
    <w:name w:val="Table"/>
    <w:basedOn w:val="Tablanormal"/>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color w:val="1F3864"/>
      </w:rPr>
      <w:tcPr>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96" Target="media/rId96.png" /><Relationship Type="http://schemas.openxmlformats.org/officeDocument/2006/relationships/image" Id="rId134" Target="media/rId134.png" /><Relationship Type="http://schemas.openxmlformats.org/officeDocument/2006/relationships/image" Id="rId25" Target="media/rId2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17</Pages>
  <Words>5444</Words>
  <Characters>29943</Characters>
  <Application>Microsoft Office Word</Application>
  <DocSecurity>0</DocSecurity>
  <Lines>249</Lines>
  <Paragraphs>70</Paragraphs>
  <ScaleCrop>false</ScaleCrop>
  <Company/>
  <LinksUpToDate>false</LinksUpToDate>
  <CharactersWithSpaces>35317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2026-10-21T22:54:55Z</dcterms:created>
  <dcterms:modified xsi:type="dcterms:W3CDTF">2026-10-21T22:54:55Z</dcterms:modified>
</cp:coreProperties>
</file>

<file path=docProps/custom.xml><?xml version="1.0" encoding="utf-8"?>
<Properties xmlns="http://schemas.openxmlformats.org/officeDocument/2006/custom-properties" xmlns:vt="http://schemas.openxmlformats.org/officeDocument/2006/docPropsVTypes"/>
</file>