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34"/>
          <w:szCs w:val="34"/>
        </w:rPr>
        <w:t xml:space="preserve">Definiciones para desarrollo — Supli Performance y Supli Challenge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66"/>
          <w:sz w:val="20"/>
          <w:szCs w:val="20"/>
        </w:rPr>
        <w:t xml:space="preserve">Decisiones cerradas por People · Base para construcción · Septiembre 2026 · Tech (Laura Ayala)</w:t>
      </w:r>
    </w:p>
    <w:tbl>
      <w:tblPr>
        <w:tblW w:type="dxa" w:w="10080"/>
        <w:tblBorders>
          <w:top w:val="single" w:color="5B4FC4" w:sz="14"/>
          <w:left w:val="single" w:color="5B4FC4" w:sz="14"/>
          <w:bottom w:val="single" w:color="5B4FC4" w:sz="14"/>
          <w:right w:val="single" w:color="5B4FC4" w:sz="1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0EEFB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FC4"/>
                <w:sz w:val="24"/>
                <w:szCs w:val="24"/>
              </w:rPr>
              <w:t xml:space="preserve">Requisito imprescindible para dejar este desarrollo OK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20"/>
                <w:szCs w:val="20"/>
              </w:rPr>
              <w:t xml:space="preserve">Se debe garantizar la integración técnica con Odoo (lectura de los datos maestros de empleados como fuente única: nombre, cargo, área, dirección, organización, regional, país y jefe inmediato) como condición previa para dar por OK este desarrollo. De esa integración dependen la jerarquía de equipos, la segmentación de público, los permisos y los rankings de Performance y Challenge. Sin una integración con Odoo confiable y operativa, ninguno de los dos módulos puede funcionar. No es un pendiente más: es condición previa para construir y salir a producción.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Este documento consolida las decisiones que People cerró sobre el diseño. Son la base para pasar a desarrollo. Se mantienen como dos módulos separados: Supli Performance (objetivos y KPIs) y Supli Challenge (cultura y participación). Los datos maestros de empleados (nombre, cargo, área, dirección, jefe inmediato) se leen desde Odoo como fuente única.</w:t>
      </w:r>
    </w:p>
    <w:tbl>
      <w:tblPr>
        <w:tblW w:type="dxa" w:w="10080"/>
        <w:tblBorders>
          <w:top w:val="single" w:color="F0D9A8" w:sz="2"/>
          <w:left w:val="single" w:color="F0D9A8" w:sz="2"/>
          <w:bottom w:val="single" w:color="F0D9A8" w:sz="2"/>
          <w:right w:val="single" w:color="F0D9A8" w:sz="2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BF4E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21"/>
                <w:szCs w:val="21"/>
              </w:rPr>
              <w:t xml:space="preserve">Antes de iniciar carga / desarrollo dependiente de datos: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21"/>
                <w:szCs w:val="21"/>
              </w:rPr>
              <w:t xml:space="preserve">People verifica y actualiza en Odoo el módulo de empleados, el organigrama y el catálogo de cargos, a más tardar el 28 de septiembre (A6, A7).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21"/>
                <w:szCs w:val="21"/>
              </w:rPr>
              <w:t xml:space="preserve">Pendiente de confirmación: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21"/>
                <w:szCs w:val="21"/>
              </w:rPr>
              <w:t xml:space="preserve">necesidad del tipo «fórmula personalizada» en Performance — People responde a más tardar el 25 de septiembre, tras recibir la matriz del Leadership Team el 24 (A10).</w:t>
            </w:r>
          </w:p>
        </w:tc>
      </w:tr>
    </w:tbl>
    <w:p>
      <w:pPr>
        <w:pBdr>
          <w:bottom w:val="single" w:color="5B4FC4" w:sz="8" w:space="6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7"/>
          <w:szCs w:val="27"/>
        </w:rPr>
        <w:t xml:space="preserve">Sección A · Supli Performance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A1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Ponderación del 100%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Por persona y mes: la totalidad de KPIs asignados a un miembro del equipo debe sumar 100%. El sistema no permite guardar el mes si la suma es distinta de 100%. El peso representa la importancia relativa del KPI dentro de la valoración.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A2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Semáforo de cumplimiento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Cortes definidos por tipo de meta:</w:t>
      </w:r>
    </w:p>
    <w:tbl>
      <w:tblPr>
        <w:tblW w:type="dxa" w:w="1008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CEAE2" w:sz="2"/>
          <w:insideV w:val="single" w:color="ECEAE2" w:sz="2"/>
        </w:tblBorders>
      </w:tblPr>
      <w:tblGrid>
        <w:gridCol w:w="2600"/>
        <w:gridCol w:w="2500"/>
        <w:gridCol w:w="2500"/>
        <w:gridCol w:w="2480"/>
      </w:tblGrid>
      <w:tr>
        <w:trPr>
          <w:tblHeader/>
        </w:trPr>
        <w:tc>
          <w:tcPr>
            <w:tcW w:type="dxa" w:w="2600"/>
            <w:shd w:fill="5B4F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2500"/>
            <w:shd w:fill="5B4F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Verde</w:t>
            </w:r>
          </w:p>
        </w:tc>
        <w:tc>
          <w:tcPr>
            <w:tcW w:type="dxa" w:w="2500"/>
            <w:shd w:fill="5B4F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Naranja</w:t>
            </w:r>
          </w:p>
        </w:tc>
        <w:tc>
          <w:tcPr>
            <w:tcW w:type="dxa" w:w="2480"/>
            <w:shd w:fill="5B4F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Rojo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Cuantitativa (%, montos, unidades)</w:t>
            </w:r>
          </w:p>
        </w:tc>
        <w:tc>
          <w:tcPr>
            <w:tcW w:type="dxa" w:w="2500"/>
            <w:shd w:fill="E7F4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≥ 100%</w:t>
            </w:r>
          </w:p>
        </w:tc>
        <w:tc>
          <w:tcPr>
            <w:tcW w:type="dxa" w:w="2500"/>
            <w:shd w:fill="FBF1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85% – 99.9%</w:t>
            </w:r>
          </w:p>
        </w:tc>
        <w:tc>
          <w:tcPr>
            <w:tcW w:type="dxa" w:w="2480"/>
            <w:shd w:fill="FBE9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&lt; 85%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Cualitativa (entregables / hitos)</w:t>
            </w:r>
          </w:p>
        </w:tc>
        <w:tc>
          <w:tcPr>
            <w:tcW w:type="dxa" w:w="2500"/>
            <w:shd w:fill="E7F4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2 de 2 criterios = 100%</w:t>
            </w:r>
          </w:p>
        </w:tc>
        <w:tc>
          <w:tcPr>
            <w:tcW w:type="dxa" w:w="2500"/>
            <w:shd w:fill="FBF1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1 de 2 = 50%</w:t>
            </w:r>
          </w:p>
        </w:tc>
        <w:tc>
          <w:tcPr>
            <w:tcW w:type="dxa" w:w="2480"/>
            <w:shd w:fill="FBE9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0 de 2 = 0%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F5E66"/>
          <w:sz w:val="19"/>
          <w:szCs w:val="19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66"/>
          <w:sz w:val="19"/>
          <w:szCs w:val="19"/>
        </w:rPr>
        <w:t xml:space="preserve">El % de cumplimiento lo calcula el sistema; el color se asigna según estos cortes.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A3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Sobrecumplimiento (&gt;100%)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Permitido, como interruptor por objetivo. Se activa donde aplique (por ejemplo ventas o unidades vendidas). Por defecto el KPI queda topado a 100%.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A4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«Menos es mejor» con resultado 0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Cuando menos es mejor (días, tickets, errores), ejecutar 0 cuenta como 100% de cumplimiento (topado, salvo que el objetivo tenga habilitado el sobrecumplimiento). Evita la división por cero.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A5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Evidencias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En el MVP, evidencias por enlace a SharePoint / OneDrive (no se suben archivos al sistema). Debe garantizarse que el jefe inmediato, el People Manager y el CEO puedan acceder a los enlaces/soportes para validar cuando se requiera.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A6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Jerarquía (jefe inmediato) desde Odoo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El «equipo de un líder» se arma con el jefe inmediato que trae Odoo. Toda persona debe tener jefe inmediato diligenciado en Odoo; si no, no aparece para ningún líder.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9770E"/>
          <w:sz w:val="19"/>
          <w:szCs w:val="19"/>
        </w:rPr>
        <w:t xml:space="preserve">Pendiente.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19"/>
          <w:szCs w:val="19"/>
        </w:rPr>
        <w:t xml:space="preserve">People confirma la verificación y actualización del módulo de empleados en Odoo antes del 28 de septiembre.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A7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Organigrama y catálogo de cargos en Odoo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Los campos dirección, organización, regional y CAV / punto de venta se toman de Odoo y deben mantenerse allí. El cargo debe estar estandarizado en Odoo (catálogo de puestos) para poder agrupar por cargo / rol de forma confiable.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9770E"/>
          <w:sz w:val="19"/>
          <w:szCs w:val="19"/>
        </w:rPr>
        <w:t xml:space="preserve">Pendiente.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19"/>
          <w:szCs w:val="19"/>
        </w:rPr>
        <w:t xml:space="preserve">People confirma la verificación del organigrama y el catálogo de cargos (estandarización) antes del 28 de septiembre.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A8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Cortes de tiempo (periodos oficiales)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Cuatro niveles de acumulación: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Mensual: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evaluación individual de cada mes (M1 a M12).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Q-Periodo (trimestral, 3 meses):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1Q Ene–Mar, 2Q Abr–Jun, 3Q Jul–Sep, 4Q Oct–Dic.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Semestral: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1S Ene–Jun, 2S Jul–Dic.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Anual: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cierre acumulado Ene–Dic.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F5E66"/>
          <w:sz w:val="19"/>
          <w:szCs w:val="19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66"/>
          <w:sz w:val="19"/>
          <w:szCs w:val="19"/>
        </w:rPr>
        <w:t xml:space="preserve">Corrige el «Q de 4 meses» del framework: el Q es trimestral (3 meses).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A9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Congelamiento del mes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Los objetivos de un mes se pueden editar hasta el último día del mes anterior; deben quedar definidos y cargados antes de que inicie el mes, y después se bloquean. Se habilita un interruptor para que People pueda autorizar la edición en casos excepcionales aprobados por el CEO, dejando registro.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A10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Tipo «fórmula personalizada»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9770E"/>
          <w:sz w:val="19"/>
          <w:szCs w:val="19"/>
        </w:rPr>
        <w:t xml:space="preserve">Pendiente.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19"/>
          <w:szCs w:val="19"/>
        </w:rPr>
        <w:t xml:space="preserve">People confirma si se necesita en octubre a más tardar el 25 de septiembre (el Leadership Team entrega la matriz el 24). Si no se necesita, se omite ese tipo para simplificar.</w:t>
      </w:r>
    </w:p>
    <w:p>
      <w:pPr>
        <w:pBdr>
          <w:bottom w:val="single" w:color="5B4FC4" w:sz="8" w:space="6"/>
        </w:pBd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7"/>
          <w:szCs w:val="27"/>
        </w:rPr>
        <w:t xml:space="preserve">Sección B · Supli Challenge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B1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Edición de un reto ya abierto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Al abrir el reto se bloquean sus reglas y condiciones (criterios, puntaje, público, tipo de evidencia). Se puede corregir texto y ampliar el plazo (nunca reducirlo); todo cambio queda en un historial visible para el colaborador.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B2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Rúbrica y conversión a puntaje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Cinco criterios, cada uno en escala 1–10: (1) Conexión con el principio, (2) Valor generado, (3) Claridad, (4) Evidencia, (5) Aprendizaje. Puntaje final = promedio de los cinco × 10, en escala 0–100.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0"/>
          <w:szCs w:val="20"/>
        </w:rPr>
        <w:t xml:space="preserve">Fórmula: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(Conexión + Valor + Claridad + Evidencia + Aprendizaje) ÷ 5 × 10 = puntaje (0–100). Ejemplo: 8 + 9 + 7 + 8 + 9 = 41; 41 ÷ 5 = 8,2; 8,2 × 10 = 82 puntos.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F5E66"/>
          <w:sz w:val="19"/>
          <w:szCs w:val="19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66"/>
          <w:sz w:val="19"/>
          <w:szCs w:val="19"/>
        </w:rPr>
        <w:t xml:space="preserve">Los criterios pueden variar según el reto; estos son los criterios de los Challenges iniciales. Cada nivel 1–10 tiene un significado definido para orientar la valoración:</w:t>
      </w:r>
    </w:p>
    <w:tbl>
      <w:tblPr>
        <w:tblW w:type="dxa" w:w="1008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CEAE2" w:sz="2"/>
          <w:insideV w:val="single" w:color="ECEAE2" w:sz="2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shd w:fill="5B4F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8680"/>
            <w:shd w:fill="5B4F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 general (aplica a los 5 criterios)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1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Muy limitado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2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Muy bajo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3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4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5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6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Cumple y agrega valor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7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Supera lo esperado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8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Supera claramente lo esperado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9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Sobresale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42F"/>
                <w:sz w:val="18"/>
                <w:szCs w:val="18"/>
              </w:rPr>
              <w:t xml:space="preserve">10</w:t>
            </w:r>
          </w:p>
        </w:tc>
        <w:tc>
          <w:tcPr>
            <w:tcW w:type="dxa" w:w="8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42F"/>
                <w:sz w:val="18"/>
                <w:szCs w:val="18"/>
              </w:rPr>
              <w:t xml:space="preserve">Excepcional</w:t>
            </w:r>
          </w:p>
        </w:tc>
      </w:tr>
    </w:tbl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B3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Trazabilidad y revisión de la valoración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Se muestra al colaborador el detalle de su valoración (criterio, nivel y comentario), no solo el puntaje. La opción «solicitar revisión» se habilita únicamente cuando el nivel asignado es 7 o menos; para niveles 8, 9 y 10 no se habilita (se consideran altos).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B4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Ganador y desempate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Un único ganador por Challenge: el de mayor puntaje. No puede haber más de un ganador. En caso de empate, se realiza una valoración adicional sobre Conexión con el principio, Valor generado y Evidencia; quien obtenga la mayor puntuación acumulada en esos tres criterios gana el desempate y recibe un bonus de +20 puntos.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B5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Evidencia: formatos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Se aceptan texto, imagen, PDF y enlace. El video se referencia por enlace (con permiso de visualización), no se sube el archivo.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B6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Evidencia: visibilidad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La visibilidad se configura por reto: solo el líder responsable y People; o el líder, People y los participantes; o toda la organización. Se define según el propósito de cada Challenge (algunos manejan información confidencial). El jefe inmediato, el People Manager y el CEO siempre pueden validar los soportes.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B7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Categorías de reto (definitivas)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Cultura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— principios y comportamientos Supli.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Ritmo Supli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— rituales, dinámicas y formas de ejecución.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Infraestructura tecnológica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— herramientas y tecnología.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KMS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— gestión y transferencia del conocimiento.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Supli aprende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— aprendizaje y desarrollo de capacidades.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1"/>
          <w:szCs w:val="21"/>
        </w:rPr>
        <w:t xml:space="preserve">Supli impulsa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1"/>
          <w:szCs w:val="21"/>
        </w:rPr>
        <w:t xml:space="preserve">— iniciativas, proyectos y acciones que generan impacto.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B8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Ciclo de vida y estados del Challenge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Estados: Borrador → Publicado/Abierto → Cerrado → Finalizado. El equipo de People crea, edita, publica, cierra y finaliza. Se considera iniciado al pasar de Borrador a Publicado/Abierto; terminado cuando finaliza el plazo y pasa a Cerrado; Finalizado es el cierre definitivo tras validar resultados y generar reconocimientos, cuando aplique.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F5E66"/>
          <w:sz w:val="19"/>
          <w:szCs w:val="19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66"/>
          <w:sz w:val="19"/>
          <w:szCs w:val="19"/>
        </w:rPr>
        <w:t xml:space="preserve">Un Challenge cerrado no se reabre como acción habitual. De forma excepcional, People puede autorizar su reapertura (por ejemplo, ampliar plazo o corregir), validándolo con el Leadership Team y dejando registro del cambio.</w:t>
      </w:r>
    </w:p>
    <w:p>
      <w:pPr>
        <w:pBdr>
          <w:bottom w:val="single" w:color="E5E3DB" w:sz="4" w:space="6"/>
        </w:pBd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6"/>
          <w:szCs w:val="6"/>
        </w:rPr>
        <w:t xml:space="preserve"> 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5B4FC4"/>
          <w:sz w:val="22"/>
          <w:szCs w:val="22"/>
        </w:rPr>
        <w:t xml:space="preserve">B9 · </w:t>
      </w: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2"/>
          <w:szCs w:val="22"/>
        </w:rPr>
        <w:t xml:space="preserve">Registro y validación de resultados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0"/>
          <w:szCs w:val="20"/>
        </w:rPr>
        <w:t xml:space="preserve">Regla.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La participación se acredita con la entrega de la evidencia solicitada, definida previamente por reto (PDF, video, presentación, formulario, etc.); su entrega equivale a la participación.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0"/>
          <w:szCs w:val="20"/>
        </w:rPr>
        <w:t xml:space="preserve">Validación: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cada participación la califican tres evaluadores — dos miembros de SUPLI y un jurado seleccionado aleatoriamente para cada Challenge. La calificación final es el resultado de la valoración de los tres, según la rúbrica del reto.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6242F"/>
          <w:sz w:val="20"/>
          <w:szCs w:val="20"/>
        </w:rPr>
        <w:t xml:space="preserve">Descalificación: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42F"/>
          <w:sz w:val="20"/>
          <w:szCs w:val="20"/>
        </w:rPr>
        <w:t xml:space="preserve">si la evidencia no corresponde al formato o condiciones del reto, la participación se descalifica y obtiene 0 automáticamente. El evaluador marca la evidencia como «No cumple» y el sistema genera la descalificación y el puntaje 0, sin valorar los cinco criterios.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4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2026-09-21T15:13:39.067Z</dcterms:created>
  <dcterms:modified xsi:type="dcterms:W3CDTF">2026-09-21T15:13:39.076Z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