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Georgia" w:cs="Georgia" w:eastAsia="Georgia" w:hAnsi="Georgia"/>
          <w:b/>
          <w:bCs/>
          <w:color w:val="0B1638"/>
          <w:sz w:val="68"/>
          <w:szCs w:val="68"/>
        </w:rPr>
        <w:t xml:space="preserve">ICONIC WEALTH VENTURES</w:t>
      </w:r>
    </w:p>
    <w:p>
      <w:pPr>
        <w:spacing w:after="0" w:before="0"/>
      </w:pPr>
      <w:r>
        <w:rPr>
          <w:rFonts w:ascii="Georgia" w:cs="Georgia" w:eastAsia="Georgia" w:hAnsi="Georgia"/>
          <w:color w:val="C4973A"/>
          <w:sz w:val="36"/>
          <w:szCs w:val="36"/>
        </w:rPr>
        <w:t xml:space="preserve">◆</w:t>
      </w:r>
    </w:p>
    <w:p>
      <w:pPr>
        <w:spacing w:after="80" w:before="20"/>
      </w:pPr>
      <w:r>
        <w:rPr>
          <w:rFonts w:ascii="Georgia" w:cs="Georgia" w:eastAsia="Georgia" w:hAnsi="Georgia"/>
          <w:i/>
          <w:iCs/>
          <w:color w:val="4A4A6A"/>
          <w:sz w:val="30"/>
          <w:szCs w:val="30"/>
        </w:rPr>
        <w:t xml:space="preserve">Website Copy &amp; Conversion Framework</w:t>
      </w:r>
    </w:p>
    <w:p>
      <w:pPr>
        <w:spacing w:after="600" w:before="0"/>
      </w:pPr>
      <w:r>
        <w:rPr>
          <w:rFonts w:ascii="Georgia" w:cs="Georgia" w:eastAsia="Georgia" w:hAnsi="Georgia"/>
          <w:i/>
          <w:iCs/>
          <w:color w:val="C4973A"/>
          <w:sz w:val="22"/>
          <w:szCs w:val="22"/>
        </w:rPr>
        <w:t xml:space="preserve">Abundance Is Not Inherited. It Is Decided.</w:t>
      </w:r>
    </w:p>
    <w:p>
      <w:pPr>
        <w:pBdr>
          <w:bottom w:val="single" w:color="C4973A" w:sz="8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B1638"/>
          <w:sz w:val="20"/>
          <w:szCs w:val="20"/>
        </w:rPr>
        <w:t xml:space="preserve">HOW TO USE THIS DOCUMENT</w:t>
      </w:r>
    </w:p>
    <w:p>
      <w:pPr>
        <w:spacing w:after="80" w:before="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Each section is a complete, plug-and-play page blueprint for your Kajabi site. Every block includes: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Hero Headline — your bold, immediate value statement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Subheadline — context and credibility that converts curiosity to interest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5 Benefit-Driven Bullets — precision-crafted proof points per page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Social Proof &amp; Authority Block — positions IWV at the elite tier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Dual CTA Layout — primary (Join / Buy) + secondary, color-coded and ready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i/>
          <w:iCs/>
          <w:color w:val="4A4A6A"/>
          <w:sz w:val="19"/>
          <w:szCs w:val="19"/>
        </w:rPr>
        <w:t xml:space="preserve">Tone: Sharp &amp; Professional  |  Audience: Ambitious professionals, ages 20–45  |  Platform: Kajabi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HOME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HOMEPAGE — Master Section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Where Wealth, Wellness, and Ambition Converge.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Iconic Wealth Ventures delivers elite strategies at the intersection of health, financial intelligence, and entrepreneurial mastery — built for the driven professional who demands more from life and business.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Master the disciplines that separate top performers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health, wealth, and mindset unified in one premium platform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Access curated frameworks, expert-led webinars, and evidence-backed insights that translate directly into results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Join a vetted community of ambitious professionals investing in their full-spectrum growth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Leverage exclusive content across podcasts, courses, blogs, and live events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all within one ecosystem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Built for the 20–45 professional who refuses to compartmentalize ambition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IWV was built by a board-certified clinician, multi-industry entrepreneur, and PhD candidate who has operated at the intersection of healthcare systems, financial strategy, and business development across multiple states and two continents. This is not a content brand. It is a precision performance platform.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Join the Inner Circle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Explore Our Programs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H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HEALTH &amp; WELLNESS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Elite Health Is Your Most Valuable Competitive Advantage.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Your most critical asset isn't your portfolio — it's your physical and cognitive capacity. IWV delivers evidence-based wellness strategies built for high-performing entrepreneurs who cannot afford to operate below peak.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Science-backed protocols for optimizing energy, cognition, and longevity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tailored for demanding schedules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Practical nutrition, movement, and recovery frameworks designed for executive lifestyles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Expert-curated content from licensed clinicians who understand the physiology of high performance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Mental resilience systems that prevent burnout before it derails your success trajectory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Sustainable health architecture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not quick fixes — designed to compound like your best investments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Developed by a Family Nurse Practitioner with clinical expertise across geriatric, chronic disease, and value-based care settings. This is not lifestyle content — it is clinical precision applied to entrepreneurial performance.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Access the Wellness Vault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Listen to the Podcast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C497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S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SMART MONEY MOVES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Financial Intelligence Is a Skill. Master It.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From cash flow strategy to investment positioning, IWV equips ambitious professionals with the financial literacy and tactical frameworks to build, protect, and multiply wealth — with precision and purpose.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Income architecture, asset allocation, and wealth acceleration frameworks that go far beyond basic budgeting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Real estate, entrepreneurial income, and multi-stream investment strategies for the professional building legacy wealth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Financial literacy content designed for the high earner ready to think and operate like a CFO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Weekly insights from Money Moves Daily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direct, actionable, and results-oriented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Close the gap between earning well and building wealth that outlasts you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Informed by real entrepreneurial experience — from scaling multi-state healthcare operations to co-founding a specialty pharmaceutical distribution company in Kenya. These strategies are tested, not theoretical.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Start Building Wealth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Explore Money Moves Daily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3B1F5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E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ENTREPRENEUR MINDSET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The Distance Between Vision and Legacy Is Your Mindset.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IWV's Entrepreneur Mindset content delivers the psychological edge, leadership frameworks, and execution discipline that separate those who aspire from those who build empires — and sustain them.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High-performance mindset frameworks at the intersection of clinical psychology, leadership theory, and lived entrepreneurial experience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Strategic clarity tools to cut through noise, prioritize ruthlessly, and execute with precision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Identity-level transformation content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because durable success starts with who you choose to become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Leadership development resources for those managing teams, scaling companies, and expanding influence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Purpose-driven frameworks that align ambition with values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building success that compounds and means something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Built by a leader who scaled from bedside clinician to Director of Clinical Operations, PhD candidate, and founder of multiple ventures across two continents. The mindset content here is drawn from real-world crucibles — not keynote stages.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Unlock the Mindset Series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Join the Inner Circle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3E2A1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B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BLOG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Insights Sharp Enough to Change Your Trajectory.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The IWV Blog delivers deep, practitioner-informed content across health optimization, wealth building, and entrepreneurial performance. Written for professionals who read to implement — not merely to consume.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In-depth articles at the intersection of clinical expertise and business intelligence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research-backed and practice-informed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Actionable takeaways in every post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no filler, no fluff, only frameworks that move the needle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Topics spanning GLP-1 innovation, real estate investing, leadership psychology, and peak performance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Content that respects your time and is calibrated to your level of ambition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Consistently updated with new perspectives that keep you ahead of the curve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Authored by practitioners and domain experts. Each article is a precision instrument designed to shift your thinking and sharpen your execution.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Read the Latest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Subscribe for Weekly Insights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P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PODCAST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Turn Every Commute Into a Competitive Advantage.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Money Moves Daily and the IWV Podcast deliver sharp, expert-level conversations on health, wealth, and entrepreneurial strategy — designed for the professional who is always moving and never coasting.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Concise, high-impact episodes structured for immediate application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no filler, no three-hour marathons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Expert guests spanning finance, clinical health, real estate, and organizational leadership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Behind-the-scenes strategy from an entrepreneur actively building across healthcare, pharmaceuticals, and digital platforms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New episodes released weekly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consistent, elite-level intelligence delivered directly to your ears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Available on all major platforms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integrate strategic learning into any moment of your professional day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Hosted by Caroline Oloo, MSN, FNP-BC — board-certified clinician, Director of Clinical Operations, PhD candidate, and multi-industry entrepreneur. Every episode is built on lived experience, not armchair theory.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Subscribe &amp; Listen Now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Browse the Archive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3B1F5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73A"/>
                <w:sz w:val="28"/>
                <w:szCs w:val="28"/>
              </w:rPr>
              <w:t xml:space="preserve">W</w:t>
            </w:r>
          </w:p>
        </w:tc>
        <w:tc>
          <w:tcPr>
            <w:tcW w:type="dxa" w:w="8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8F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B1638"/>
                <w:sz w:val="32"/>
                <w:szCs w:val="32"/>
              </w:rPr>
              <w:t xml:space="preserve">WEBINARS Page</w:t>
            </w:r>
          </w:p>
        </w:tc>
      </w:tr>
    </w:tbl>
    <w:p>
      <w:pPr>
        <w:pBdr>
          <w:bottom w:val="single" w:color="C4973A" w:sz="4" w:space="1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HERO HEADLINE</w:t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0B1638"/>
          <w:sz w:val="52"/>
          <w:szCs w:val="52"/>
        </w:rPr>
        <w:t xml:space="preserve">Live Learning. Expert Strategy. Immediate Application.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SUBHEADLINE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IWV Webinars deliver expert-led, interactive sessions across health optimization, financial strategy, and entrepreneurial development — exclusive, high-value access for professionals committed to accelerated growth.</w:t>
      </w:r>
    </w:p>
    <w:p>
      <w:pPr>
        <w:spacing w:after="0" w:before="10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BENEFIT-DRIVEN BULLET POINTS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Live sessions with direct expert access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real questions answered in real time, not pre-recorded performances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Deep-dive workshops on GLP-1 management, real estate investing, leadership systems, and clinical entrepreneurship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0B1638"/>
          <w:sz w:val="22"/>
          <w:szCs w:val="22"/>
        </w:rPr>
        <w:t xml:space="preserve">Recorded replays available exclusively to Inner Circle members — 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learn on your schedule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Small-cohort formats built for quality engagement and peer-level conversation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Every session ends with actionable deliverables you can deploy immediately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E8E4DC" w:sz="1"/>
              <w:left w:val="single" w:color="C4973A" w:sz="16"/>
              <w:bottom w:val="single" w:color="E8E4DC" w:sz="1"/>
              <w:right w:val="none" w:color="FFFFFF" w:sz="0"/>
            </w:tcBorders>
            <w:shd w:fill="C4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4973A"/>
                <w:sz w:val="17"/>
                <w:szCs w:val="17"/>
              </w:rPr>
              <w:t xml:space="preserve">★  SOCIAL PROOF &amp; AUTHORITY POSITIONING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B1638"/>
                <w:sz w:val="21"/>
                <w:szCs w:val="21"/>
              </w:rPr>
              <w:t xml:space="preserve">Facilitated by practitioners with active, verifiable expertise. Every IWV webinar is engineered to produce measurable results, not just inspiration.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320"/>
      </w:pPr>
      <w:r>
        <w:rPr>
          <w:rFonts w:ascii="Georgia" w:cs="Georgia" w:eastAsia="Georgia" w:hAnsi="Georgia"/>
          <w:b/>
          <w:bCs/>
          <w:color w:val="C4973A"/>
          <w:spacing w:val="60"/>
          <w:sz w:val="18"/>
          <w:szCs w:val="18"/>
        </w:rPr>
        <w:t xml:space="preserve">◆  CALL-TO-ACTION BUTTONS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0B163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73A"/>
                <w:spacing w:val="60"/>
                <w:sz w:val="15"/>
                <w:szCs w:val="15"/>
              </w:rPr>
              <w:t xml:space="preserve">PRIMARY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Reserve Your Seat →</w:t>
            </w:r>
          </w:p>
        </w:tc>
        <w:tc>
          <w:tcPr>
            <w:tcW w:type="dxa" w:w="46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2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638"/>
                <w:spacing w:val="60"/>
                <w:sz w:val="15"/>
                <w:szCs w:val="15"/>
              </w:rPr>
              <w:t xml:space="preserve">SECONDARY CTA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1638"/>
                <w:sz w:val="24"/>
                <w:szCs w:val="24"/>
              </w:rPr>
              <w:t xml:space="preserve">View Upcoming Webinars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  <w:rPr>
        <w:color w:val="C4973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2026-03-06T05:44:28.434Z</dcterms:created>
  <dcterms:modified xsi:type="dcterms:W3CDTF">2026-03-06T05:44:28.459Z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